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A2" w:rsidRPr="004869A2" w:rsidRDefault="004869A2">
      <w:pPr>
        <w:rPr>
          <w:rFonts w:ascii="Tahoma" w:hAnsi="Tahoma" w:cs="Tahoma"/>
          <w:sz w:val="36"/>
          <w:szCs w:val="36"/>
        </w:rPr>
      </w:pPr>
      <w:r>
        <w:rPr>
          <w:rFonts w:ascii="Tahoma" w:hAnsi="Tahoma" w:cs="Tahoma"/>
          <w:sz w:val="36"/>
          <w:szCs w:val="36"/>
        </w:rPr>
        <w:t>Talousarvion laadintaohjeet 2023 ja suunnitelmavuodet 2024-2025</w:t>
      </w:r>
    </w:p>
    <w:p w:rsidR="00A71649" w:rsidRDefault="00A71649" w:rsidP="007D70DC">
      <w:pPr>
        <w:shd w:val="clear" w:color="auto" w:fill="FFFFFF"/>
        <w:spacing w:after="100" w:afterAutospacing="1" w:line="240" w:lineRule="auto"/>
        <w:rPr>
          <w:rFonts w:ascii="Arial" w:eastAsia="Times New Roman" w:hAnsi="Arial" w:cs="Arial"/>
          <w:b/>
          <w:bCs/>
          <w:color w:val="212529"/>
          <w:sz w:val="24"/>
          <w:szCs w:val="24"/>
          <w:lang w:eastAsia="fi-FI"/>
        </w:rPr>
      </w:pPr>
      <w:r>
        <w:rPr>
          <w:rFonts w:ascii="Arial" w:eastAsia="Times New Roman" w:hAnsi="Arial" w:cs="Arial"/>
          <w:b/>
          <w:bCs/>
          <w:color w:val="212529"/>
          <w:sz w:val="24"/>
          <w:szCs w:val="24"/>
          <w:lang w:eastAsia="fi-FI"/>
        </w:rPr>
        <w:t>Talousarviota koskeva lainsäädäntö</w:t>
      </w:r>
    </w:p>
    <w:p w:rsidR="00A71649" w:rsidRPr="00A71649" w:rsidRDefault="00A71649" w:rsidP="002405C6">
      <w:pPr>
        <w:spacing w:after="1" w:line="232" w:lineRule="auto"/>
        <w:ind w:left="-5" w:right="397" w:hanging="10"/>
        <w:jc w:val="both"/>
        <w:rPr>
          <w:rFonts w:ascii="Tahoma" w:eastAsia="Tahoma" w:hAnsi="Tahoma" w:cs="Tahoma"/>
          <w:color w:val="000000"/>
          <w:lang w:eastAsia="fi-FI"/>
        </w:rPr>
      </w:pPr>
      <w:r w:rsidRPr="00A71649">
        <w:rPr>
          <w:rFonts w:ascii="Tahoma" w:eastAsia="Tahoma" w:hAnsi="Tahoma" w:cs="Tahoma"/>
          <w:color w:val="000000"/>
          <w:lang w:eastAsia="fi-FI"/>
        </w:rPr>
        <w:t>Kuntalain 110 § (10.4.2015/410) mukaan valtuuston on vuoden loppuun mennessä hyväksyttävä kunnalle seuraavaksi kalenterivuodeksi talousarvio ottaen huomioon kuntakonsernin talouden vastuut ja velvoitteet. Sen hyväksymisen yhteydessä valtuuston on hyväksyttävä taloussuunnitelma kolmeksi vuodeksi (</w:t>
      </w:r>
      <w:r w:rsidRPr="00A71649">
        <w:rPr>
          <w:rFonts w:ascii="Tahoma" w:eastAsia="Tahoma" w:hAnsi="Tahoma" w:cs="Tahoma"/>
          <w:color w:val="000000"/>
          <w:sz w:val="23"/>
          <w:lang w:eastAsia="fi-FI"/>
        </w:rPr>
        <w:t>suunnittelukausi</w:t>
      </w:r>
      <w:r w:rsidRPr="00A71649">
        <w:rPr>
          <w:rFonts w:ascii="Tahoma" w:eastAsia="Tahoma" w:hAnsi="Tahoma" w:cs="Tahoma"/>
          <w:color w:val="000000"/>
          <w:lang w:eastAsia="fi-FI"/>
        </w:rPr>
        <w:t xml:space="preserve">). Talousarviovuosi on taloussuunnitelman ensimmäinen vuosi. </w:t>
      </w:r>
    </w:p>
    <w:p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2405C6">
      <w:pPr>
        <w:spacing w:after="1" w:line="232" w:lineRule="auto"/>
        <w:ind w:left="-5" w:right="454"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Talousarvio ja –suunnitelma on laadittava siten, että ne toteuttavat kuntastrategiaa ja edellytykset kuntien tehtävien hoitamiseen turvataan. Talousarviossa ja suunnitelmassa hyväksytään kunnan ja kuntakonsernin toiminnan ja talouden tavoitteet. </w:t>
      </w:r>
    </w:p>
    <w:p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2405C6">
      <w:pPr>
        <w:spacing w:after="1" w:line="232" w:lineRule="auto"/>
        <w:ind w:left="-5" w:right="510"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Taloussuunnitelman on oltava tasapainossa tai ylijäämäinen. Kunnan taseeseen kertynyt alijäämä tulee kattaa enintään neljän vuoden kuluessa tilinpäätöksen vahvistamista seuraavan vuoden alusta lukien. Kunnan taloussuunnitelmassa tulee päättää yksilöidyistä toimenpiteistä, joilla alijäämä mainittuna jaksona katetaan. </w:t>
      </w:r>
    </w:p>
    <w:p w:rsidR="00A71649" w:rsidRPr="00A71649" w:rsidRDefault="00A71649" w:rsidP="00A71649">
      <w:pPr>
        <w:spacing w:after="0" w:line="256" w:lineRule="auto"/>
        <w:ind w:left="1296"/>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Default="00A71649" w:rsidP="00A71649">
      <w:pPr>
        <w:shd w:val="clear" w:color="auto" w:fill="FFFFFF"/>
        <w:spacing w:after="100" w:afterAutospacing="1" w:line="240" w:lineRule="auto"/>
        <w:rPr>
          <w:rFonts w:ascii="Tahoma" w:eastAsia="Tahoma" w:hAnsi="Tahoma" w:cs="Tahoma"/>
          <w:color w:val="000000"/>
          <w:lang w:eastAsia="fi-FI"/>
        </w:rPr>
      </w:pPr>
      <w:r w:rsidRPr="00A71649">
        <w:rPr>
          <w:rFonts w:ascii="Tahoma" w:eastAsia="Tahoma" w:hAnsi="Tahoma" w:cs="Tahoma"/>
          <w:color w:val="000000"/>
          <w:lang w:eastAsia="fi-FI"/>
        </w:rPr>
        <w:t>Talousarvioon otetaan tehtävien ja toiminnan tavoitteiden edellyttämät määrärahat ja tuloarviot sekä siinä osoitetaan, miten rahoitustarve katetaan. Talousarvio- ja suunnitelma on laadittava siten, että ne toteuttavat kuntastrategiaa ja edellytykset kunnan tehtävien</w:t>
      </w:r>
      <w:r>
        <w:rPr>
          <w:rFonts w:ascii="Tahoma" w:eastAsia="Tahoma" w:hAnsi="Tahoma" w:cs="Tahoma"/>
          <w:color w:val="000000"/>
          <w:lang w:eastAsia="fi-FI"/>
        </w:rPr>
        <w:t xml:space="preserve"> hoitamiseen turvataan. </w:t>
      </w:r>
    </w:p>
    <w:p w:rsidR="00A71649" w:rsidRPr="00A71649" w:rsidRDefault="00A71649" w:rsidP="002405C6">
      <w:pPr>
        <w:spacing w:after="1" w:line="232" w:lineRule="auto"/>
        <w:ind w:left="-5" w:right="680" w:hanging="10"/>
        <w:jc w:val="both"/>
        <w:rPr>
          <w:rFonts w:ascii="Tahoma" w:eastAsia="Tahoma" w:hAnsi="Tahoma" w:cs="Tahoma"/>
          <w:color w:val="000000"/>
          <w:lang w:eastAsia="fi-FI"/>
        </w:rPr>
      </w:pPr>
      <w:r>
        <w:rPr>
          <w:rFonts w:ascii="Tahoma" w:eastAsia="Tahoma" w:hAnsi="Tahoma" w:cs="Tahoma"/>
          <w:color w:val="000000"/>
          <w:lang w:eastAsia="fi-FI"/>
        </w:rPr>
        <w:t xml:space="preserve">Määräraha </w:t>
      </w:r>
      <w:r w:rsidRPr="00A71649">
        <w:rPr>
          <w:rFonts w:ascii="Tahoma" w:eastAsia="Tahoma" w:hAnsi="Tahoma" w:cs="Tahoma"/>
          <w:color w:val="000000"/>
          <w:lang w:eastAsia="fi-FI"/>
        </w:rPr>
        <w:t xml:space="preserve">ja tuloarvio voidaan ottaa brutto- tai nettomääräisenä. Talousarviossa on käyttötalous- ja tuloslaskelmaosa sekä investointi- ja rahoitusosa. </w:t>
      </w:r>
    </w:p>
    <w:p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2405C6">
      <w:pPr>
        <w:spacing w:after="1" w:line="232" w:lineRule="auto"/>
        <w:ind w:left="-5" w:right="850" w:hanging="10"/>
        <w:jc w:val="both"/>
        <w:rPr>
          <w:rFonts w:ascii="Tahoma" w:eastAsia="Tahoma" w:hAnsi="Tahoma" w:cs="Tahoma"/>
          <w:color w:val="000000"/>
          <w:lang w:eastAsia="fi-FI"/>
        </w:rPr>
      </w:pPr>
      <w:r w:rsidRPr="00A71649">
        <w:rPr>
          <w:rFonts w:ascii="Tahoma" w:eastAsia="Tahoma" w:hAnsi="Tahoma" w:cs="Tahoma"/>
          <w:color w:val="000000"/>
          <w:lang w:eastAsia="fi-FI"/>
        </w:rPr>
        <w:t xml:space="preserve">Kunnan toiminnassa ja taloudenhoidossa on noudatettava talousarviota. Siihen tehtävistä muutoksista päättää valtuusto. Talousarvion valmistelusta vastaa kunnanhallitus sekä kukin toimielin omalla tehtäväalueellaan.  </w:t>
      </w:r>
    </w:p>
    <w:p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A71649">
      <w:pPr>
        <w:spacing w:after="3" w:line="247" w:lineRule="auto"/>
        <w:ind w:left="-5" w:right="961" w:hanging="10"/>
        <w:rPr>
          <w:rFonts w:ascii="Tahoma" w:eastAsia="Tahoma" w:hAnsi="Tahoma" w:cs="Tahoma"/>
          <w:color w:val="000000"/>
          <w:lang w:eastAsia="fi-FI"/>
        </w:rPr>
      </w:pPr>
      <w:r w:rsidRPr="00A71649">
        <w:rPr>
          <w:rFonts w:ascii="Tahoma" w:eastAsia="Tahoma" w:hAnsi="Tahoma" w:cs="Tahoma"/>
          <w:color w:val="000000"/>
          <w:lang w:eastAsia="fi-FI"/>
        </w:rPr>
        <w:t xml:space="preserve">Talousarvion ja -suunnitelman päätehtävät:  </w:t>
      </w:r>
    </w:p>
    <w:p w:rsidR="002405C6" w:rsidRDefault="00A71649" w:rsidP="00A71649">
      <w:pPr>
        <w:numPr>
          <w:ilvl w:val="0"/>
          <w:numId w:val="1"/>
        </w:numPr>
        <w:spacing w:after="3" w:line="247" w:lineRule="auto"/>
        <w:ind w:right="2007" w:hanging="360"/>
        <w:rPr>
          <w:rFonts w:ascii="Tahoma" w:eastAsia="Tahoma" w:hAnsi="Tahoma" w:cs="Tahoma"/>
          <w:color w:val="000000"/>
          <w:lang w:eastAsia="fi-FI"/>
        </w:rPr>
      </w:pPr>
      <w:r w:rsidRPr="00A71649">
        <w:rPr>
          <w:rFonts w:ascii="Tahoma" w:eastAsia="Tahoma" w:hAnsi="Tahoma" w:cs="Tahoma"/>
          <w:color w:val="000000"/>
          <w:lang w:eastAsia="fi-FI"/>
        </w:rPr>
        <w:t xml:space="preserve">asettaa palvelutoimintaa ja investointihankkeita koskevat tavoitteet, </w:t>
      </w:r>
    </w:p>
    <w:p w:rsidR="00A71649" w:rsidRPr="00A71649" w:rsidRDefault="002405C6" w:rsidP="002405C6">
      <w:pPr>
        <w:spacing w:after="3" w:line="247" w:lineRule="auto"/>
        <w:ind w:right="2007"/>
        <w:rPr>
          <w:rFonts w:ascii="Tahoma" w:eastAsia="Tahoma" w:hAnsi="Tahoma" w:cs="Tahoma"/>
          <w:color w:val="000000"/>
          <w:lang w:eastAsia="fi-FI"/>
        </w:rPr>
      </w:pPr>
      <w:r>
        <w:rPr>
          <w:rFonts w:ascii="Tahoma" w:eastAsia="Tahoma" w:hAnsi="Tahoma" w:cs="Tahoma"/>
          <w:color w:val="000000"/>
          <w:lang w:eastAsia="fi-FI"/>
        </w:rPr>
        <w:t xml:space="preserve">     </w:t>
      </w:r>
      <w:r w:rsidR="00A71649" w:rsidRPr="00A71649">
        <w:rPr>
          <w:rFonts w:ascii="Segoe UI Symbol" w:eastAsia="Segoe UI Symbol" w:hAnsi="Segoe UI Symbol" w:cs="Segoe UI Symbol"/>
          <w:color w:val="000000"/>
          <w:lang w:eastAsia="fi-FI"/>
        </w:rPr>
        <w:t>•</w:t>
      </w:r>
      <w:r w:rsidR="00A71649" w:rsidRPr="00A71649">
        <w:rPr>
          <w:rFonts w:ascii="Arial" w:eastAsia="Arial" w:hAnsi="Arial" w:cs="Arial"/>
          <w:color w:val="000000"/>
          <w:lang w:eastAsia="fi-FI"/>
        </w:rPr>
        <w:t xml:space="preserve"> </w:t>
      </w:r>
      <w:r>
        <w:rPr>
          <w:rFonts w:ascii="Arial" w:eastAsia="Arial" w:hAnsi="Arial" w:cs="Arial"/>
          <w:color w:val="000000"/>
          <w:lang w:eastAsia="fi-FI"/>
        </w:rPr>
        <w:t xml:space="preserve">    </w:t>
      </w:r>
      <w:r w:rsidR="00A71649" w:rsidRPr="00A71649">
        <w:rPr>
          <w:rFonts w:ascii="Tahoma" w:eastAsia="Tahoma" w:hAnsi="Tahoma" w:cs="Tahoma"/>
          <w:color w:val="000000"/>
          <w:lang w:eastAsia="fi-FI"/>
        </w:rPr>
        <w:t xml:space="preserve">budjetoida menoja ja tuloja koskevat arviot eri tehtäville ja hankkeille,  </w:t>
      </w:r>
    </w:p>
    <w:p w:rsidR="004869A2" w:rsidRPr="004869A2" w:rsidRDefault="00A71649" w:rsidP="00A363EB">
      <w:pPr>
        <w:numPr>
          <w:ilvl w:val="0"/>
          <w:numId w:val="1"/>
        </w:numPr>
        <w:spacing w:after="541" w:line="247" w:lineRule="auto"/>
        <w:ind w:right="2007" w:hanging="360"/>
        <w:rPr>
          <w:rFonts w:ascii="Tahoma" w:eastAsia="Tahoma" w:hAnsi="Tahoma" w:cs="Tahoma"/>
          <w:b/>
          <w:color w:val="000000"/>
          <w:lang w:eastAsia="fi-FI"/>
        </w:rPr>
      </w:pPr>
      <w:r w:rsidRPr="004869A2">
        <w:rPr>
          <w:rFonts w:ascii="Tahoma" w:eastAsia="Tahoma" w:hAnsi="Tahoma" w:cs="Tahoma"/>
          <w:color w:val="000000"/>
          <w:lang w:eastAsia="fi-FI"/>
        </w:rPr>
        <w:t xml:space="preserve">osoittaa, miten varsinainen toiminta ja investoinnit rahoitetaan. </w:t>
      </w:r>
    </w:p>
    <w:p w:rsidR="00A71649" w:rsidRDefault="00A71649" w:rsidP="008B7122">
      <w:pPr>
        <w:pStyle w:val="Eivli"/>
        <w:rPr>
          <w:rFonts w:ascii="Tahoma" w:hAnsi="Tahoma" w:cs="Tahoma"/>
          <w:b/>
          <w:sz w:val="24"/>
          <w:szCs w:val="24"/>
          <w:lang w:eastAsia="fi-FI"/>
        </w:rPr>
      </w:pPr>
      <w:r w:rsidRPr="008B7122">
        <w:rPr>
          <w:rFonts w:ascii="Tahoma" w:hAnsi="Tahoma" w:cs="Tahoma"/>
          <w:b/>
          <w:sz w:val="24"/>
          <w:szCs w:val="24"/>
          <w:lang w:eastAsia="fi-FI"/>
        </w:rPr>
        <w:t>Talousarvioon 2023 laatimisen lähtökohdat</w:t>
      </w:r>
    </w:p>
    <w:p w:rsidR="008B7122" w:rsidRPr="008B7122" w:rsidRDefault="008B7122" w:rsidP="008B7122">
      <w:pPr>
        <w:pStyle w:val="Eivli"/>
        <w:rPr>
          <w:rFonts w:ascii="Tahoma" w:hAnsi="Tahoma" w:cs="Tahoma"/>
          <w:b/>
          <w:sz w:val="24"/>
          <w:szCs w:val="24"/>
          <w:lang w:eastAsia="fi-FI"/>
        </w:rPr>
      </w:pPr>
    </w:p>
    <w:p w:rsidR="00A71649" w:rsidRPr="008B7122" w:rsidRDefault="00A71649" w:rsidP="008B7122">
      <w:pPr>
        <w:pStyle w:val="Eivli"/>
        <w:ind w:right="-113"/>
        <w:rPr>
          <w:rFonts w:ascii="Tahoma" w:hAnsi="Tahoma" w:cs="Tahoma"/>
          <w:lang w:eastAsia="fi-FI"/>
        </w:rPr>
      </w:pPr>
      <w:r w:rsidRPr="008B7122">
        <w:rPr>
          <w:rFonts w:ascii="Tahoma" w:hAnsi="Tahoma" w:cs="Tahoma"/>
          <w:lang w:eastAsia="fi-FI"/>
        </w:rPr>
        <w:t xml:space="preserve">Vuonna 2023 alkaa kuntien ja kuntatalouden uusi aikakausi, kun </w:t>
      </w:r>
      <w:proofErr w:type="spellStart"/>
      <w:r w:rsidRPr="008B7122">
        <w:rPr>
          <w:rFonts w:ascii="Tahoma" w:hAnsi="Tahoma" w:cs="Tahoma"/>
          <w:lang w:eastAsia="fi-FI"/>
        </w:rPr>
        <w:t>sosiaali</w:t>
      </w:r>
      <w:proofErr w:type="spellEnd"/>
      <w:r w:rsidRPr="008B7122">
        <w:rPr>
          <w:rFonts w:ascii="Tahoma" w:hAnsi="Tahoma" w:cs="Tahoma"/>
          <w:lang w:eastAsia="fi-FI"/>
        </w:rPr>
        <w:t xml:space="preserve">- ja terveyspalvelut poistuvat kuntien taloudesta ja järjestäminen ja kustannukset siirtyvät hyvinvointialueille. Uudistus mullistaa kuntien rahoitusjärjestelmän. Yli puolet verotuloista ja kaksi kolmannesta valtionosuuksista siirretään hyvinvointialueiden rahoittamiseen. </w:t>
      </w:r>
    </w:p>
    <w:p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2405C6">
      <w:pPr>
        <w:spacing w:after="3" w:line="247" w:lineRule="auto"/>
        <w:ind w:left="-5" w:right="624" w:hanging="10"/>
        <w:rPr>
          <w:rFonts w:ascii="Tahoma" w:eastAsia="Tahoma" w:hAnsi="Tahoma" w:cs="Tahoma"/>
          <w:color w:val="000000"/>
          <w:lang w:eastAsia="fi-FI"/>
        </w:rPr>
      </w:pPr>
      <w:r w:rsidRPr="00A71649">
        <w:rPr>
          <w:rFonts w:ascii="Tahoma" w:eastAsia="Tahoma" w:hAnsi="Tahoma" w:cs="Tahoma"/>
          <w:color w:val="000000"/>
          <w:lang w:eastAsia="fi-FI"/>
        </w:rPr>
        <w:t xml:space="preserve">Vaikka </w:t>
      </w:r>
      <w:proofErr w:type="spellStart"/>
      <w:r w:rsidRPr="00A71649">
        <w:rPr>
          <w:rFonts w:ascii="Tahoma" w:eastAsia="Tahoma" w:hAnsi="Tahoma" w:cs="Tahoma"/>
          <w:color w:val="000000"/>
          <w:lang w:eastAsia="fi-FI"/>
        </w:rPr>
        <w:t>sote</w:t>
      </w:r>
      <w:proofErr w:type="spellEnd"/>
      <w:r w:rsidRPr="00A71649">
        <w:rPr>
          <w:rFonts w:ascii="Tahoma" w:eastAsia="Tahoma" w:hAnsi="Tahoma" w:cs="Tahoma"/>
          <w:color w:val="000000"/>
          <w:lang w:eastAsia="fi-FI"/>
        </w:rPr>
        <w:t xml:space="preserve">-uudistus helpottanee jatkossa kunnan talouden ennustamista tulevat investoinnit haastamaan kuntataloutta pidemmällä aikavälillä. Kunnan strategian mukaisesti elinvoimanäkökulma on pidettävä jatkossa vahvasti mukana päätöksenteossa. </w:t>
      </w:r>
    </w:p>
    <w:p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Pr="00A71649" w:rsidRDefault="00A71649" w:rsidP="002405C6">
      <w:pPr>
        <w:spacing w:after="3" w:line="247" w:lineRule="auto"/>
        <w:ind w:left="-5" w:right="737" w:hanging="10"/>
        <w:rPr>
          <w:rFonts w:ascii="Tahoma" w:eastAsia="Tahoma" w:hAnsi="Tahoma" w:cs="Tahoma"/>
          <w:color w:val="000000"/>
          <w:lang w:eastAsia="fi-FI"/>
        </w:rPr>
      </w:pPr>
      <w:r w:rsidRPr="00A71649">
        <w:rPr>
          <w:rFonts w:ascii="Tahoma" w:eastAsia="Tahoma" w:hAnsi="Tahoma" w:cs="Tahoma"/>
          <w:color w:val="000000"/>
          <w:lang w:eastAsia="fi-FI"/>
        </w:rPr>
        <w:t>Muita kuntien toimintaympäristöön vaikuttavia tekijöitä vuonna 2023 ovat</w:t>
      </w:r>
      <w:r w:rsidR="002405C6">
        <w:rPr>
          <w:rFonts w:ascii="Tahoma" w:eastAsia="Tahoma" w:hAnsi="Tahoma" w:cs="Tahoma"/>
          <w:color w:val="000000"/>
          <w:lang w:eastAsia="fi-FI"/>
        </w:rPr>
        <w:t xml:space="preserve"> </w:t>
      </w:r>
      <w:r w:rsidRPr="00A71649">
        <w:rPr>
          <w:rFonts w:ascii="Tahoma" w:eastAsia="Tahoma" w:hAnsi="Tahoma" w:cs="Tahoma"/>
          <w:color w:val="000000"/>
          <w:lang w:eastAsia="fi-FI"/>
        </w:rPr>
        <w:t xml:space="preserve">koronaepidemia, joka vaikuttaa edelleen kuntien talouteen ja toimintaan. Venäjän hyökkäys Ukrainaan </w:t>
      </w:r>
      <w:r w:rsidRPr="00A71649">
        <w:rPr>
          <w:rFonts w:ascii="Tahoma" w:eastAsia="Tahoma" w:hAnsi="Tahoma" w:cs="Tahoma"/>
          <w:color w:val="000000"/>
          <w:lang w:eastAsia="fi-FI"/>
        </w:rPr>
        <w:lastRenderedPageBreak/>
        <w:t xml:space="preserve">heikentää talouden kehitysnäkymiä ja luo kustannuspaineita. Sen myötä kasvavat globaalit jännitteet, jotka aiheuttavat epävarmuutta mm. inflaation, pakolaisvirtojen ja kyberturvallisuuden tiimoilta.  </w:t>
      </w:r>
    </w:p>
    <w:p w:rsidR="00A71649" w:rsidRPr="00A71649" w:rsidRDefault="00A71649" w:rsidP="00A71649">
      <w:pPr>
        <w:spacing w:after="0" w:line="256" w:lineRule="auto"/>
        <w:rPr>
          <w:rFonts w:ascii="Tahoma" w:eastAsia="Tahoma" w:hAnsi="Tahoma" w:cs="Tahoma"/>
          <w:color w:val="000000"/>
          <w:lang w:eastAsia="fi-FI"/>
        </w:rPr>
      </w:pPr>
      <w:r w:rsidRPr="00A71649">
        <w:rPr>
          <w:rFonts w:ascii="Tahoma" w:eastAsia="Tahoma" w:hAnsi="Tahoma" w:cs="Tahoma"/>
          <w:color w:val="000000"/>
          <w:lang w:eastAsia="fi-FI"/>
        </w:rPr>
        <w:t xml:space="preserve"> </w:t>
      </w:r>
    </w:p>
    <w:p w:rsidR="00A71649" w:rsidRDefault="00A71649" w:rsidP="00A71649">
      <w:pPr>
        <w:spacing w:after="3" w:line="247" w:lineRule="auto"/>
        <w:ind w:left="-5" w:right="961" w:hanging="10"/>
        <w:rPr>
          <w:rFonts w:ascii="Tahoma" w:eastAsia="Tahoma" w:hAnsi="Tahoma" w:cs="Tahoma"/>
          <w:color w:val="000000"/>
          <w:lang w:eastAsia="fi-FI"/>
        </w:rPr>
      </w:pPr>
      <w:r w:rsidRPr="00A71649">
        <w:rPr>
          <w:rFonts w:ascii="Tahoma" w:eastAsia="Tahoma" w:hAnsi="Tahoma" w:cs="Tahoma"/>
          <w:color w:val="000000"/>
          <w:lang w:eastAsia="fi-FI"/>
        </w:rPr>
        <w:t xml:space="preserve">Myös valmisteilla oleva TE-palvelujen siirto kuntiin tulee toteutuessaan aiheuttamaan kuntien tehtäväkentän muutosta taloussuunnitteluvuosille.  </w:t>
      </w:r>
    </w:p>
    <w:p w:rsidR="00A71649" w:rsidRDefault="00A71649" w:rsidP="00A71649">
      <w:pPr>
        <w:spacing w:after="3" w:line="247" w:lineRule="auto"/>
        <w:ind w:left="-5" w:right="961" w:hanging="10"/>
        <w:rPr>
          <w:rFonts w:ascii="Tahoma" w:eastAsia="Tahoma" w:hAnsi="Tahoma" w:cs="Tahoma"/>
          <w:b/>
          <w:color w:val="000000"/>
          <w:lang w:eastAsia="fi-FI"/>
        </w:rPr>
      </w:pPr>
    </w:p>
    <w:p w:rsidR="00A71649" w:rsidRDefault="00A71649" w:rsidP="00A71649">
      <w:pPr>
        <w:spacing w:after="3" w:line="247" w:lineRule="auto"/>
        <w:ind w:left="-5" w:right="961" w:hanging="10"/>
        <w:rPr>
          <w:rFonts w:ascii="Tahoma" w:eastAsia="Tahoma" w:hAnsi="Tahoma" w:cs="Tahoma"/>
          <w:b/>
          <w:color w:val="000000"/>
          <w:lang w:eastAsia="fi-FI"/>
        </w:rPr>
      </w:pPr>
      <w:r w:rsidRPr="00A71649">
        <w:rPr>
          <w:rFonts w:ascii="Tahoma" w:eastAsia="Tahoma" w:hAnsi="Tahoma" w:cs="Tahoma"/>
          <w:b/>
          <w:color w:val="000000"/>
          <w:lang w:eastAsia="fi-FI"/>
        </w:rPr>
        <w:t xml:space="preserve">Valtionosuudet </w:t>
      </w:r>
    </w:p>
    <w:p w:rsidR="00A71649" w:rsidRPr="00A71649" w:rsidRDefault="00A71649" w:rsidP="00A71649">
      <w:pPr>
        <w:spacing w:after="3" w:line="247" w:lineRule="auto"/>
        <w:ind w:left="-5" w:right="961" w:hanging="10"/>
        <w:rPr>
          <w:rFonts w:ascii="Tahoma" w:eastAsia="Tahoma" w:hAnsi="Tahoma" w:cs="Tahoma"/>
          <w:b/>
          <w:color w:val="000000"/>
          <w:lang w:eastAsia="fi-FI"/>
        </w:rPr>
      </w:pPr>
    </w:p>
    <w:tbl>
      <w:tblPr>
        <w:tblStyle w:val="TableGrid"/>
        <w:tblW w:w="8556" w:type="dxa"/>
        <w:tblInd w:w="7" w:type="dxa"/>
        <w:tblCellMar>
          <w:top w:w="78" w:type="dxa"/>
          <w:right w:w="11" w:type="dxa"/>
        </w:tblCellMar>
        <w:tblLook w:val="04A0" w:firstRow="1" w:lastRow="0" w:firstColumn="1" w:lastColumn="0" w:noHBand="0" w:noVBand="1"/>
      </w:tblPr>
      <w:tblGrid>
        <w:gridCol w:w="4203"/>
        <w:gridCol w:w="1693"/>
        <w:gridCol w:w="1404"/>
        <w:gridCol w:w="1256"/>
      </w:tblGrid>
      <w:tr w:rsidR="00A71649" w:rsidRPr="00A71649" w:rsidTr="008B7122">
        <w:trPr>
          <w:trHeight w:val="391"/>
        </w:trPr>
        <w:tc>
          <w:tcPr>
            <w:tcW w:w="4203"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b/>
                <w:color w:val="000000"/>
              </w:rPr>
              <w:t xml:space="preserve">Valtionosuudet </w:t>
            </w:r>
          </w:p>
        </w:tc>
        <w:tc>
          <w:tcPr>
            <w:tcW w:w="1693"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right="57"/>
              <w:jc w:val="right"/>
              <w:rPr>
                <w:rFonts w:ascii="Tahoma" w:eastAsia="Tahoma" w:hAnsi="Tahoma" w:cs="Tahoma"/>
                <w:color w:val="000000"/>
              </w:rPr>
            </w:pPr>
            <w:r w:rsidRPr="00A71649">
              <w:rPr>
                <w:rFonts w:eastAsia="Calibri" w:cs="Calibri"/>
                <w:b/>
                <w:color w:val="000000"/>
              </w:rPr>
              <w:t>TP 2021</w:t>
            </w:r>
            <w:r w:rsidRPr="00A71649">
              <w:rPr>
                <w:rFonts w:eastAsia="Calibri" w:cs="Calibri"/>
                <w:b/>
                <w:color w:val="FF0000"/>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right="60"/>
              <w:jc w:val="right"/>
              <w:rPr>
                <w:rFonts w:ascii="Tahoma" w:eastAsia="Tahoma" w:hAnsi="Tahoma" w:cs="Tahoma"/>
                <w:color w:val="000000"/>
              </w:rPr>
            </w:pPr>
            <w:r w:rsidRPr="00A71649">
              <w:rPr>
                <w:rFonts w:eastAsia="Calibri" w:cs="Calibri"/>
                <w:b/>
                <w:color w:val="000000"/>
              </w:rPr>
              <w:t>T</w:t>
            </w:r>
            <w:r>
              <w:rPr>
                <w:rFonts w:eastAsia="Calibri" w:cs="Calibri"/>
                <w:b/>
                <w:color w:val="000000"/>
              </w:rPr>
              <w:t>A</w:t>
            </w:r>
            <w:r w:rsidR="005A0529">
              <w:rPr>
                <w:rFonts w:eastAsia="Calibri" w:cs="Calibri"/>
                <w:b/>
                <w:color w:val="000000"/>
              </w:rPr>
              <w:t>E</w:t>
            </w:r>
            <w:r w:rsidRPr="00A71649">
              <w:rPr>
                <w:rFonts w:eastAsia="Calibri" w:cs="Calibri"/>
                <w:b/>
                <w:color w:val="000000"/>
              </w:rPr>
              <w:t xml:space="preserve"> 2022 </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right="56"/>
              <w:jc w:val="right"/>
              <w:rPr>
                <w:rFonts w:ascii="Tahoma" w:eastAsia="Tahoma" w:hAnsi="Tahoma" w:cs="Tahoma"/>
                <w:color w:val="000000"/>
              </w:rPr>
            </w:pPr>
            <w:r>
              <w:rPr>
                <w:rFonts w:eastAsia="Calibri" w:cs="Calibri"/>
                <w:b/>
                <w:color w:val="000000"/>
              </w:rPr>
              <w:t>TA</w:t>
            </w:r>
            <w:r w:rsidRPr="00A71649">
              <w:rPr>
                <w:rFonts w:eastAsia="Calibri" w:cs="Calibri"/>
                <w:b/>
                <w:color w:val="000000"/>
              </w:rPr>
              <w:t xml:space="preserve"> 2023 </w:t>
            </w:r>
          </w:p>
        </w:tc>
      </w:tr>
      <w:tr w:rsidR="00A71649" w:rsidRPr="00A71649" w:rsidTr="008B7122">
        <w:trPr>
          <w:trHeight w:val="277"/>
        </w:trPr>
        <w:tc>
          <w:tcPr>
            <w:tcW w:w="4203"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color w:val="000000"/>
              </w:rPr>
              <w:t xml:space="preserve">Kunnan peruspalvelujen valtionosuus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rsidR="00A71649" w:rsidRPr="00A71649" w:rsidRDefault="00256A84" w:rsidP="00256A84">
            <w:pPr>
              <w:spacing w:line="256" w:lineRule="auto"/>
              <w:rPr>
                <w:rFonts w:ascii="Tahoma" w:eastAsia="Tahoma" w:hAnsi="Tahoma" w:cs="Tahoma"/>
                <w:color w:val="000000"/>
              </w:rPr>
            </w:pPr>
            <w:r>
              <w:rPr>
                <w:rFonts w:eastAsia="Calibri" w:cs="Calibri"/>
              </w:rPr>
              <w:t xml:space="preserve">             </w:t>
            </w:r>
            <w:r w:rsidR="00543E03" w:rsidRPr="00543E03">
              <w:rPr>
                <w:rFonts w:eastAsia="Calibri" w:cs="Calibri"/>
              </w:rPr>
              <w:t xml:space="preserve">6 </w:t>
            </w:r>
            <w:r w:rsidR="00520353">
              <w:rPr>
                <w:rFonts w:eastAsia="Calibri" w:cs="Calibri"/>
              </w:rPr>
              <w:t>237</w:t>
            </w:r>
            <w:r w:rsidR="00543E03" w:rsidRPr="00543E03">
              <w:rPr>
                <w:rFonts w:eastAsia="Calibri" w:cs="Calibri"/>
              </w:rPr>
              <w:t xml:space="preserve"> 135</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B32D01" w:rsidP="00B32D01">
            <w:pPr>
              <w:rPr>
                <w:rFonts w:ascii="Tahoma" w:eastAsia="Tahoma" w:hAnsi="Tahoma" w:cs="Tahoma"/>
              </w:rPr>
            </w:pPr>
            <w:r>
              <w:rPr>
                <w:rFonts w:eastAsia="Calibri"/>
              </w:rPr>
              <w:t xml:space="preserve">   </w:t>
            </w:r>
            <w:r w:rsidR="00256A84">
              <w:rPr>
                <w:rFonts w:eastAsia="Calibri"/>
              </w:rPr>
              <w:t xml:space="preserve">    </w:t>
            </w:r>
            <w:r>
              <w:rPr>
                <w:rFonts w:eastAsia="Calibri"/>
              </w:rPr>
              <w:t xml:space="preserve">  4 353 481</w:t>
            </w:r>
            <w:r w:rsidR="00256A84">
              <w:rPr>
                <w:rFonts w:eastAsia="Calibri"/>
              </w:rPr>
              <w:t xml:space="preserve">                                                                                </w:t>
            </w:r>
            <w:r>
              <w:rPr>
                <w:rFonts w:eastAsia="Calibri"/>
              </w:rPr>
              <w:t xml:space="preserve">                              </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112773" w:rsidP="00A71649">
            <w:pPr>
              <w:spacing w:line="256" w:lineRule="auto"/>
              <w:ind w:right="57"/>
              <w:jc w:val="right"/>
              <w:rPr>
                <w:rFonts w:asciiTheme="minorHAnsi" w:eastAsia="Tahoma" w:hAnsiTheme="minorHAnsi" w:cstheme="minorHAnsi"/>
                <w:color w:val="000000"/>
              </w:rPr>
            </w:pPr>
            <w:r w:rsidRPr="00112773">
              <w:rPr>
                <w:rFonts w:asciiTheme="minorHAnsi" w:eastAsia="Tahoma" w:hAnsiTheme="minorHAnsi" w:cstheme="minorHAnsi"/>
                <w:color w:val="000000"/>
              </w:rPr>
              <w:t>471</w:t>
            </w:r>
            <w:r>
              <w:rPr>
                <w:rFonts w:asciiTheme="minorHAnsi" w:eastAsia="Tahoma" w:hAnsiTheme="minorHAnsi" w:cstheme="minorHAnsi"/>
                <w:color w:val="000000"/>
              </w:rPr>
              <w:t xml:space="preserve"> </w:t>
            </w:r>
            <w:r w:rsidRPr="00112773">
              <w:rPr>
                <w:rFonts w:asciiTheme="minorHAnsi" w:eastAsia="Tahoma" w:hAnsiTheme="minorHAnsi" w:cstheme="minorHAnsi"/>
                <w:color w:val="000000"/>
              </w:rPr>
              <w:t>232</w:t>
            </w:r>
          </w:p>
        </w:tc>
      </w:tr>
      <w:tr w:rsidR="00A71649" w:rsidRPr="00A71649" w:rsidTr="008B7122">
        <w:trPr>
          <w:trHeight w:val="277"/>
        </w:trPr>
        <w:tc>
          <w:tcPr>
            <w:tcW w:w="4203"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color w:val="000000"/>
              </w:rPr>
              <w:t xml:space="preserve">Verotuloihin perustuva tasaus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rsidR="00A71649" w:rsidRPr="00A71649" w:rsidRDefault="00A71649" w:rsidP="00A71649">
            <w:pPr>
              <w:spacing w:line="256" w:lineRule="auto"/>
              <w:ind w:left="70"/>
              <w:rPr>
                <w:rFonts w:ascii="Tahoma" w:eastAsia="Tahoma" w:hAnsi="Tahoma" w:cs="Tahoma"/>
              </w:rPr>
            </w:pPr>
            <w:r w:rsidRPr="00A71649">
              <w:rPr>
                <w:rFonts w:eastAsia="Calibri" w:cs="Calibri"/>
              </w:rPr>
              <w:t xml:space="preserve"> </w:t>
            </w:r>
            <w:r w:rsidR="00520353" w:rsidRPr="00520353">
              <w:rPr>
                <w:rFonts w:eastAsia="Calibri" w:cs="Calibri"/>
              </w:rPr>
              <w:t xml:space="preserve">           1 295 813</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5A0529" w:rsidP="00256A84">
            <w:pPr>
              <w:spacing w:line="256" w:lineRule="auto"/>
              <w:ind w:right="60"/>
              <w:jc w:val="right"/>
              <w:rPr>
                <w:rFonts w:ascii="Tahoma" w:eastAsia="Tahoma" w:hAnsi="Tahoma" w:cs="Tahoma"/>
                <w:color w:val="000000"/>
              </w:rPr>
            </w:pPr>
            <w:r>
              <w:rPr>
                <w:rFonts w:eastAsia="Calibri" w:cs="Calibri"/>
                <w:color w:val="000000"/>
              </w:rPr>
              <w:t>1</w:t>
            </w:r>
            <w:r w:rsidR="00256A84">
              <w:rPr>
                <w:rFonts w:eastAsia="Calibri" w:cs="Calibri"/>
                <w:color w:val="000000"/>
              </w:rPr>
              <w:t> </w:t>
            </w:r>
            <w:r>
              <w:rPr>
                <w:rFonts w:eastAsia="Calibri" w:cs="Calibri"/>
                <w:color w:val="000000"/>
              </w:rPr>
              <w:t>817</w:t>
            </w:r>
            <w:r w:rsidR="00256A84">
              <w:rPr>
                <w:rFonts w:eastAsia="Calibri" w:cs="Calibri"/>
                <w:color w:val="000000"/>
              </w:rPr>
              <w:t xml:space="preserve"> 078</w:t>
            </w:r>
            <w:r w:rsidR="00A71649" w:rsidRPr="00A71649">
              <w:rPr>
                <w:rFonts w:eastAsia="Calibri" w:cs="Calibri"/>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112773" w:rsidP="00A71649">
            <w:pPr>
              <w:spacing w:line="256" w:lineRule="auto"/>
              <w:ind w:right="57"/>
              <w:jc w:val="right"/>
              <w:rPr>
                <w:rFonts w:asciiTheme="minorHAnsi" w:eastAsia="Tahoma" w:hAnsiTheme="minorHAnsi" w:cstheme="minorHAnsi"/>
                <w:color w:val="000000"/>
              </w:rPr>
            </w:pPr>
            <w:r w:rsidRPr="00112773">
              <w:rPr>
                <w:rFonts w:asciiTheme="minorHAnsi" w:eastAsia="Tahoma" w:hAnsiTheme="minorHAnsi" w:cstheme="minorHAnsi"/>
                <w:color w:val="000000"/>
              </w:rPr>
              <w:t>695 101</w:t>
            </w:r>
          </w:p>
        </w:tc>
      </w:tr>
      <w:tr w:rsidR="00A71649" w:rsidRPr="00A71649" w:rsidTr="008B7122">
        <w:trPr>
          <w:trHeight w:val="277"/>
        </w:trPr>
        <w:tc>
          <w:tcPr>
            <w:tcW w:w="4203" w:type="dxa"/>
            <w:tcBorders>
              <w:top w:val="single" w:sz="4" w:space="0" w:color="000000"/>
              <w:left w:val="single" w:sz="4" w:space="0" w:color="000000"/>
              <w:bottom w:val="single" w:sz="4" w:space="0" w:color="000000"/>
              <w:right w:val="single" w:sz="4" w:space="0" w:color="000000"/>
            </w:tcBorders>
            <w:hideMark/>
          </w:tcPr>
          <w:p w:rsidR="00A71649" w:rsidRPr="00A71649" w:rsidRDefault="005A0529" w:rsidP="00A71649">
            <w:pPr>
              <w:spacing w:line="256" w:lineRule="auto"/>
              <w:ind w:left="70"/>
              <w:rPr>
                <w:rFonts w:ascii="Tahoma" w:eastAsia="Tahoma" w:hAnsi="Tahoma" w:cs="Tahoma"/>
                <w:color w:val="000000"/>
              </w:rPr>
            </w:pPr>
            <w:r>
              <w:rPr>
                <w:rFonts w:eastAsia="Calibri" w:cs="Calibri"/>
                <w:color w:val="000000"/>
              </w:rPr>
              <w:t>Opetus- ja kulttuurit</w:t>
            </w:r>
            <w:r w:rsidR="00A71649" w:rsidRPr="00A71649">
              <w:rPr>
                <w:rFonts w:eastAsia="Calibri" w:cs="Calibri"/>
                <w:color w:val="000000"/>
              </w:rPr>
              <w:t xml:space="preserve">oimen valtionosuudet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rsidR="00A71649" w:rsidRPr="00A71649" w:rsidRDefault="00A71649" w:rsidP="00A71649">
            <w:pPr>
              <w:spacing w:line="256" w:lineRule="auto"/>
              <w:ind w:left="70"/>
              <w:rPr>
                <w:rFonts w:ascii="Tahoma" w:eastAsia="Tahoma" w:hAnsi="Tahoma" w:cs="Tahoma"/>
              </w:rPr>
            </w:pPr>
            <w:r w:rsidRPr="00A71649">
              <w:rPr>
                <w:rFonts w:eastAsia="Calibri" w:cs="Calibri"/>
              </w:rPr>
              <w:t xml:space="preserve"> </w:t>
            </w:r>
            <w:r w:rsidR="00520353" w:rsidRPr="00520353">
              <w:rPr>
                <w:rFonts w:eastAsia="Calibri" w:cs="Calibri"/>
              </w:rPr>
              <w:t xml:space="preserve">             -398 119</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256A84">
            <w:pPr>
              <w:spacing w:line="256" w:lineRule="auto"/>
              <w:ind w:right="60"/>
              <w:jc w:val="right"/>
              <w:rPr>
                <w:rFonts w:ascii="Tahoma" w:eastAsia="Tahoma" w:hAnsi="Tahoma" w:cs="Tahoma"/>
                <w:color w:val="000000"/>
              </w:rPr>
            </w:pPr>
            <w:r w:rsidRPr="00A71649">
              <w:rPr>
                <w:rFonts w:eastAsia="Calibri" w:cs="Calibri"/>
                <w:color w:val="000000"/>
              </w:rPr>
              <w:t>-</w:t>
            </w:r>
            <w:r w:rsidR="00256A84">
              <w:rPr>
                <w:rFonts w:eastAsia="Calibri" w:cs="Calibri"/>
                <w:color w:val="000000"/>
              </w:rPr>
              <w:t>375 211</w:t>
            </w:r>
            <w:r w:rsidRPr="00A71649">
              <w:rPr>
                <w:rFonts w:eastAsia="Calibri" w:cs="Calibri"/>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112773" w:rsidP="00A71649">
            <w:pPr>
              <w:spacing w:line="256" w:lineRule="auto"/>
              <w:ind w:right="57"/>
              <w:jc w:val="right"/>
              <w:rPr>
                <w:rFonts w:ascii="Tahoma" w:eastAsia="Tahoma" w:hAnsi="Tahoma" w:cs="Tahoma"/>
                <w:color w:val="000000"/>
              </w:rPr>
            </w:pPr>
            <w:r>
              <w:rPr>
                <w:rFonts w:eastAsia="Calibri" w:cs="Calibri"/>
                <w:color w:val="000000"/>
              </w:rPr>
              <w:t>-375.211</w:t>
            </w:r>
            <w:r w:rsidR="00A71649" w:rsidRPr="00A71649">
              <w:rPr>
                <w:rFonts w:eastAsia="Calibri" w:cs="Calibri"/>
                <w:color w:val="000000"/>
              </w:rPr>
              <w:t xml:space="preserve"> </w:t>
            </w:r>
          </w:p>
        </w:tc>
      </w:tr>
      <w:tr w:rsidR="00A71649" w:rsidRPr="00A71649" w:rsidTr="008B7122">
        <w:trPr>
          <w:trHeight w:val="280"/>
        </w:trPr>
        <w:tc>
          <w:tcPr>
            <w:tcW w:w="4203" w:type="dxa"/>
            <w:tcBorders>
              <w:top w:val="single" w:sz="4" w:space="0" w:color="000000"/>
              <w:left w:val="single" w:sz="4" w:space="0" w:color="000000"/>
              <w:bottom w:val="single" w:sz="4" w:space="0" w:color="000000"/>
              <w:right w:val="single" w:sz="4" w:space="0" w:color="000000"/>
            </w:tcBorders>
            <w:hideMark/>
          </w:tcPr>
          <w:p w:rsidR="00520353" w:rsidRPr="00A71649" w:rsidRDefault="00A71649" w:rsidP="00520353">
            <w:pPr>
              <w:spacing w:line="256" w:lineRule="auto"/>
              <w:ind w:left="70"/>
              <w:rPr>
                <w:rFonts w:ascii="Tahoma" w:eastAsia="Tahoma" w:hAnsi="Tahoma" w:cs="Tahoma"/>
                <w:color w:val="000000"/>
              </w:rPr>
            </w:pPr>
            <w:r w:rsidRPr="00A71649">
              <w:rPr>
                <w:rFonts w:eastAsia="Calibri" w:cs="Calibri"/>
                <w:color w:val="000000"/>
              </w:rPr>
              <w:t xml:space="preserve">Verotulomenetysten kompensaatiot </w:t>
            </w:r>
          </w:p>
        </w:tc>
        <w:tc>
          <w:tcPr>
            <w:tcW w:w="1693" w:type="dxa"/>
            <w:tcBorders>
              <w:top w:val="single" w:sz="4" w:space="0" w:color="000000"/>
              <w:left w:val="single" w:sz="4" w:space="0" w:color="000000"/>
              <w:bottom w:val="single" w:sz="4" w:space="0" w:color="000000"/>
              <w:right w:val="single" w:sz="4" w:space="0" w:color="000000"/>
            </w:tcBorders>
            <w:vAlign w:val="bottom"/>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color w:val="FF0000"/>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256A84" w:rsidP="00256A84">
            <w:pPr>
              <w:spacing w:line="256" w:lineRule="auto"/>
              <w:ind w:right="60"/>
              <w:jc w:val="center"/>
              <w:rPr>
                <w:rFonts w:asciiTheme="minorHAnsi" w:eastAsia="Tahoma" w:hAnsiTheme="minorHAnsi" w:cstheme="minorHAnsi"/>
                <w:color w:val="000000"/>
              </w:rPr>
            </w:pPr>
            <w:r>
              <w:rPr>
                <w:rFonts w:ascii="Tahoma" w:eastAsia="Tahoma" w:hAnsi="Tahoma" w:cs="Tahoma"/>
                <w:color w:val="000000"/>
              </w:rPr>
              <w:t xml:space="preserve">     </w:t>
            </w:r>
            <w:r w:rsidRPr="00256A84">
              <w:rPr>
                <w:rFonts w:asciiTheme="minorHAnsi" w:eastAsia="Tahoma" w:hAnsiTheme="minorHAnsi" w:cstheme="minorHAnsi"/>
                <w:color w:val="000000"/>
              </w:rPr>
              <w:t>1</w:t>
            </w:r>
            <w:r>
              <w:rPr>
                <w:rFonts w:asciiTheme="minorHAnsi" w:eastAsia="Tahoma" w:hAnsiTheme="minorHAnsi" w:cstheme="minorHAnsi"/>
                <w:color w:val="000000"/>
              </w:rPr>
              <w:t> </w:t>
            </w:r>
            <w:r w:rsidRPr="00256A84">
              <w:rPr>
                <w:rFonts w:asciiTheme="minorHAnsi" w:eastAsia="Tahoma" w:hAnsiTheme="minorHAnsi" w:cstheme="minorHAnsi"/>
                <w:color w:val="000000"/>
              </w:rPr>
              <w:t>462</w:t>
            </w:r>
            <w:r>
              <w:rPr>
                <w:rFonts w:asciiTheme="minorHAnsi" w:eastAsia="Tahoma" w:hAnsiTheme="minorHAnsi" w:cstheme="minorHAnsi"/>
                <w:color w:val="000000"/>
              </w:rPr>
              <w:t xml:space="preserve"> </w:t>
            </w:r>
            <w:r w:rsidRPr="00256A84">
              <w:rPr>
                <w:rFonts w:asciiTheme="minorHAnsi" w:eastAsia="Tahoma" w:hAnsiTheme="minorHAnsi" w:cstheme="minorHAnsi"/>
                <w:color w:val="000000"/>
              </w:rPr>
              <w:t>738</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112773" w:rsidP="00A71649">
            <w:pPr>
              <w:spacing w:line="256" w:lineRule="auto"/>
              <w:ind w:right="57"/>
              <w:jc w:val="right"/>
              <w:rPr>
                <w:rFonts w:ascii="Tahoma" w:eastAsia="Tahoma" w:hAnsi="Tahoma" w:cs="Tahoma"/>
                <w:color w:val="000000"/>
              </w:rPr>
            </w:pPr>
            <w:r>
              <w:rPr>
                <w:rFonts w:eastAsia="Calibri" w:cs="Calibri"/>
                <w:color w:val="000000"/>
              </w:rPr>
              <w:t>451 118</w:t>
            </w:r>
            <w:r w:rsidR="00A71649" w:rsidRPr="00A71649">
              <w:rPr>
                <w:rFonts w:eastAsia="Calibri" w:cs="Calibri"/>
                <w:color w:val="000000"/>
              </w:rPr>
              <w:t xml:space="preserve"> </w:t>
            </w:r>
          </w:p>
        </w:tc>
      </w:tr>
      <w:tr w:rsidR="00A71649" w:rsidRPr="00A71649" w:rsidTr="008B7122">
        <w:trPr>
          <w:trHeight w:val="275"/>
        </w:trPr>
        <w:tc>
          <w:tcPr>
            <w:tcW w:w="4203" w:type="dxa"/>
            <w:tcBorders>
              <w:top w:val="single" w:sz="4" w:space="0" w:color="000000"/>
              <w:left w:val="single" w:sz="4" w:space="0" w:color="000000"/>
              <w:bottom w:val="single" w:sz="4" w:space="0" w:color="000000"/>
              <w:right w:val="single" w:sz="4" w:space="0" w:color="000000"/>
            </w:tcBorders>
            <w:shd w:val="clear" w:color="auto" w:fill="D9D9D9"/>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color w:val="000000"/>
              </w:rPr>
              <w:t xml:space="preserve">Yhteensä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hideMark/>
          </w:tcPr>
          <w:p w:rsidR="00A71649" w:rsidRPr="00A71649" w:rsidRDefault="00520353" w:rsidP="00A71649">
            <w:pPr>
              <w:spacing w:line="256" w:lineRule="auto"/>
              <w:ind w:left="70"/>
              <w:rPr>
                <w:rFonts w:ascii="Tahoma" w:eastAsia="Tahoma" w:hAnsi="Tahoma" w:cs="Tahoma"/>
                <w:color w:val="000000"/>
              </w:rPr>
            </w:pPr>
            <w:r>
              <w:rPr>
                <w:rFonts w:eastAsia="Calibri" w:cs="Calibri"/>
                <w:b/>
                <w:color w:val="000000"/>
              </w:rPr>
              <w:t xml:space="preserve">             7 134 929</w:t>
            </w:r>
            <w:r w:rsidR="00A71649" w:rsidRPr="00A71649">
              <w:rPr>
                <w:rFonts w:eastAsia="Calibri" w:cs="Calibri"/>
                <w:b/>
                <w:color w:val="00000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hideMark/>
          </w:tcPr>
          <w:p w:rsidR="00A71649" w:rsidRPr="00A71649" w:rsidRDefault="00A71649" w:rsidP="00B32D01">
            <w:pPr>
              <w:tabs>
                <w:tab w:val="right" w:pos="1408"/>
              </w:tabs>
              <w:spacing w:line="256" w:lineRule="auto"/>
              <w:ind w:left="-12"/>
              <w:rPr>
                <w:rFonts w:ascii="Tahoma" w:eastAsia="Tahoma" w:hAnsi="Tahoma" w:cs="Tahoma"/>
                <w:color w:val="000000"/>
              </w:rPr>
            </w:pPr>
            <w:r w:rsidRPr="00A71649">
              <w:rPr>
                <w:rFonts w:eastAsia="Calibri" w:cs="Calibri"/>
                <w:b/>
                <w:color w:val="000000"/>
              </w:rPr>
              <w:t xml:space="preserve"> </w:t>
            </w:r>
            <w:r w:rsidRPr="00A71649">
              <w:rPr>
                <w:rFonts w:eastAsia="Calibri" w:cs="Calibri"/>
                <w:b/>
                <w:color w:val="000000"/>
              </w:rPr>
              <w:tab/>
            </w:r>
            <w:r w:rsidR="00B32D01">
              <w:rPr>
                <w:rFonts w:eastAsia="Calibri" w:cs="Calibri"/>
                <w:b/>
                <w:color w:val="000000"/>
              </w:rPr>
              <w:t>7 258 086</w:t>
            </w:r>
            <w:r w:rsidRPr="00A71649">
              <w:rPr>
                <w:rFonts w:eastAsia="Calibri" w:cs="Calibri"/>
                <w:b/>
                <w:color w:val="00000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D9D9D9"/>
            <w:hideMark/>
          </w:tcPr>
          <w:p w:rsidR="00A71649" w:rsidRPr="00A71649" w:rsidRDefault="00112773" w:rsidP="00A71649">
            <w:pPr>
              <w:spacing w:line="256" w:lineRule="auto"/>
              <w:ind w:right="57"/>
              <w:jc w:val="right"/>
              <w:rPr>
                <w:rFonts w:ascii="Tahoma" w:eastAsia="Tahoma" w:hAnsi="Tahoma" w:cs="Tahoma"/>
                <w:color w:val="000000"/>
              </w:rPr>
            </w:pPr>
            <w:r>
              <w:rPr>
                <w:rFonts w:eastAsia="Calibri" w:cs="Calibri"/>
                <w:b/>
                <w:color w:val="000000"/>
              </w:rPr>
              <w:t>1 242 239</w:t>
            </w:r>
            <w:r w:rsidR="00A71649" w:rsidRPr="00A71649">
              <w:rPr>
                <w:rFonts w:eastAsia="Calibri" w:cs="Calibri"/>
                <w:b/>
                <w:color w:val="000000"/>
              </w:rPr>
              <w:t xml:space="preserve"> </w:t>
            </w:r>
          </w:p>
        </w:tc>
      </w:tr>
      <w:tr w:rsidR="00A71649" w:rsidRPr="00A71649" w:rsidTr="008B7122">
        <w:trPr>
          <w:trHeight w:val="278"/>
        </w:trPr>
        <w:tc>
          <w:tcPr>
            <w:tcW w:w="4203" w:type="dxa"/>
            <w:tcBorders>
              <w:top w:val="single" w:sz="4" w:space="0" w:color="000000"/>
              <w:left w:val="single" w:sz="4" w:space="0" w:color="000000"/>
              <w:bottom w:val="single" w:sz="4" w:space="0" w:color="000000"/>
              <w:right w:val="single" w:sz="4" w:space="0" w:color="000000"/>
            </w:tcBorders>
            <w:hideMark/>
          </w:tcPr>
          <w:p w:rsidR="00A71649" w:rsidRPr="00A71649" w:rsidRDefault="00A71649" w:rsidP="00A71649">
            <w:pPr>
              <w:spacing w:line="256" w:lineRule="auto"/>
              <w:ind w:left="70"/>
              <w:rPr>
                <w:rFonts w:ascii="Tahoma" w:eastAsia="Tahoma" w:hAnsi="Tahoma" w:cs="Tahoma"/>
                <w:color w:val="000000"/>
              </w:rPr>
            </w:pPr>
            <w:r w:rsidRPr="00A71649">
              <w:rPr>
                <w:rFonts w:eastAsia="Calibri" w:cs="Calibri"/>
                <w:color w:val="000000"/>
              </w:rPr>
              <w:t xml:space="preserve">muutos edellinen vuosi, € </w:t>
            </w:r>
          </w:p>
        </w:tc>
        <w:tc>
          <w:tcPr>
            <w:tcW w:w="1693" w:type="dxa"/>
            <w:tcBorders>
              <w:top w:val="single" w:sz="4" w:space="0" w:color="000000"/>
              <w:left w:val="single" w:sz="4" w:space="0" w:color="000000"/>
              <w:bottom w:val="single" w:sz="4" w:space="0" w:color="000000"/>
              <w:right w:val="single" w:sz="4" w:space="0" w:color="000000"/>
            </w:tcBorders>
            <w:hideMark/>
          </w:tcPr>
          <w:p w:rsidR="00A71649" w:rsidRPr="00A71649" w:rsidRDefault="00520353" w:rsidP="00A71649">
            <w:pPr>
              <w:spacing w:line="256" w:lineRule="auto"/>
              <w:ind w:right="58"/>
              <w:jc w:val="right"/>
              <w:rPr>
                <w:rFonts w:ascii="Tahoma" w:eastAsia="Tahoma" w:hAnsi="Tahoma" w:cs="Tahoma"/>
                <w:color w:val="000000"/>
              </w:rPr>
            </w:pPr>
            <w:r>
              <w:rPr>
                <w:rFonts w:eastAsia="Calibri" w:cs="Calibri"/>
                <w:b/>
                <w:color w:val="000000"/>
              </w:rPr>
              <w:t>-508 750</w:t>
            </w:r>
            <w:r w:rsidR="00A71649" w:rsidRPr="00A71649">
              <w:rPr>
                <w:rFonts w:eastAsia="Calibri" w:cs="Calibri"/>
                <w:b/>
                <w:color w:val="FF0000"/>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rsidR="00A71649" w:rsidRPr="00A71649" w:rsidRDefault="00B32D01" w:rsidP="00A71649">
            <w:pPr>
              <w:spacing w:line="256" w:lineRule="auto"/>
              <w:ind w:right="60"/>
              <w:jc w:val="right"/>
              <w:rPr>
                <w:rFonts w:ascii="Tahoma" w:eastAsia="Tahoma" w:hAnsi="Tahoma" w:cs="Tahoma"/>
                <w:color w:val="000000"/>
              </w:rPr>
            </w:pPr>
            <w:r>
              <w:rPr>
                <w:rFonts w:eastAsia="Calibri" w:cs="Calibri"/>
                <w:b/>
                <w:color w:val="000000"/>
              </w:rPr>
              <w:t>123 157</w:t>
            </w:r>
            <w:r w:rsidR="00A71649" w:rsidRPr="00A71649">
              <w:rPr>
                <w:rFonts w:eastAsia="Calibri" w:cs="Calibri"/>
                <w:b/>
                <w:color w:val="FF0000"/>
              </w:rPr>
              <w:t xml:space="preserve"> </w:t>
            </w:r>
          </w:p>
        </w:tc>
        <w:tc>
          <w:tcPr>
            <w:tcW w:w="1256" w:type="dxa"/>
            <w:tcBorders>
              <w:top w:val="single" w:sz="4" w:space="0" w:color="000000"/>
              <w:left w:val="single" w:sz="4" w:space="0" w:color="000000"/>
              <w:bottom w:val="single" w:sz="4" w:space="0" w:color="000000"/>
              <w:right w:val="single" w:sz="4" w:space="0" w:color="000000"/>
            </w:tcBorders>
            <w:hideMark/>
          </w:tcPr>
          <w:p w:rsidR="00A71649" w:rsidRPr="00A71649" w:rsidRDefault="00112773" w:rsidP="00A71649">
            <w:pPr>
              <w:spacing w:line="256" w:lineRule="auto"/>
              <w:ind w:right="57"/>
              <w:jc w:val="right"/>
              <w:rPr>
                <w:rFonts w:ascii="Tahoma" w:eastAsia="Tahoma" w:hAnsi="Tahoma" w:cs="Tahoma"/>
                <w:color w:val="000000"/>
              </w:rPr>
            </w:pPr>
            <w:r>
              <w:rPr>
                <w:rFonts w:eastAsia="Calibri" w:cs="Calibri"/>
                <w:b/>
                <w:color w:val="000000"/>
              </w:rPr>
              <w:t>-6</w:t>
            </w:r>
            <w:r w:rsidR="00B32D01">
              <w:rPr>
                <w:rFonts w:eastAsia="Calibri" w:cs="Calibri"/>
                <w:b/>
                <w:color w:val="000000"/>
              </w:rPr>
              <w:t> 015 846</w:t>
            </w:r>
            <w:r w:rsidR="00A71649" w:rsidRPr="00A71649">
              <w:rPr>
                <w:rFonts w:eastAsia="Calibri" w:cs="Calibri"/>
                <w:b/>
                <w:color w:val="FF0000"/>
              </w:rPr>
              <w:t xml:space="preserve"> </w:t>
            </w:r>
          </w:p>
        </w:tc>
      </w:tr>
    </w:tbl>
    <w:p w:rsidR="00B32D01" w:rsidRPr="00B32D01" w:rsidRDefault="00B32D01" w:rsidP="00A71649">
      <w:pPr>
        <w:shd w:val="clear" w:color="auto" w:fill="FFFFFF"/>
        <w:spacing w:after="100" w:afterAutospacing="1" w:line="240" w:lineRule="auto"/>
        <w:rPr>
          <w:rFonts w:ascii="Arial" w:eastAsia="Times New Roman" w:hAnsi="Arial" w:cs="Arial"/>
          <w:bCs/>
          <w:color w:val="212529"/>
          <w:lang w:eastAsia="fi-FI"/>
        </w:rPr>
      </w:pPr>
      <w:r w:rsidRPr="00B32D01">
        <w:rPr>
          <w:rFonts w:ascii="Arial" w:eastAsia="Times New Roman" w:hAnsi="Arial" w:cs="Arial"/>
          <w:bCs/>
          <w:color w:val="212529"/>
          <w:lang w:eastAsia="fi-FI"/>
        </w:rPr>
        <w:t>Perustuvat</w:t>
      </w:r>
      <w:r>
        <w:rPr>
          <w:rFonts w:ascii="Arial" w:eastAsia="Times New Roman" w:hAnsi="Arial" w:cs="Arial"/>
          <w:bCs/>
          <w:color w:val="212529"/>
          <w:lang w:eastAsia="fi-FI"/>
        </w:rPr>
        <w:t xml:space="preserve"> Kuntaliiton</w:t>
      </w:r>
      <w:r w:rsidRPr="00B32D01">
        <w:rPr>
          <w:rFonts w:ascii="Arial" w:eastAsia="Times New Roman" w:hAnsi="Arial" w:cs="Arial"/>
          <w:bCs/>
          <w:color w:val="212529"/>
          <w:lang w:eastAsia="fi-FI"/>
        </w:rPr>
        <w:t xml:space="preserve"> syyskuun 2022 ennusteeseen</w:t>
      </w:r>
    </w:p>
    <w:p w:rsidR="007D70DC" w:rsidRPr="004869A2" w:rsidRDefault="00F528B5" w:rsidP="007D70DC">
      <w:pPr>
        <w:shd w:val="clear" w:color="auto" w:fill="FFFFFF"/>
        <w:spacing w:after="100" w:afterAutospacing="1" w:line="240" w:lineRule="auto"/>
        <w:rPr>
          <w:rFonts w:ascii="Tahoma" w:eastAsia="Times New Roman" w:hAnsi="Tahoma" w:cs="Tahoma"/>
          <w:b/>
          <w:bCs/>
          <w:color w:val="212529"/>
          <w:sz w:val="24"/>
          <w:szCs w:val="24"/>
          <w:lang w:eastAsia="fi-FI"/>
        </w:rPr>
      </w:pPr>
      <w:r w:rsidRPr="004869A2">
        <w:rPr>
          <w:rFonts w:ascii="Tahoma" w:eastAsia="Times New Roman" w:hAnsi="Tahoma" w:cs="Tahoma"/>
          <w:b/>
          <w:bCs/>
          <w:color w:val="212529"/>
          <w:sz w:val="24"/>
          <w:szCs w:val="24"/>
          <w:lang w:eastAsia="fi-FI"/>
        </w:rPr>
        <w:t>Verotulot</w:t>
      </w:r>
    </w:p>
    <w:p w:rsidR="00F528B5" w:rsidRPr="00F528B5" w:rsidRDefault="00F528B5" w:rsidP="00151640">
      <w:pPr>
        <w:spacing w:after="3" w:line="247" w:lineRule="auto"/>
        <w:ind w:left="-5" w:right="961" w:hanging="10"/>
        <w:jc w:val="both"/>
        <w:rPr>
          <w:rFonts w:ascii="Tahoma" w:eastAsia="Tahoma" w:hAnsi="Tahoma" w:cs="Tahoma"/>
          <w:color w:val="000000"/>
          <w:lang w:eastAsia="fi-FI"/>
        </w:rPr>
      </w:pPr>
      <w:r w:rsidRPr="00F528B5">
        <w:rPr>
          <w:rFonts w:ascii="Tahoma" w:eastAsia="Tahoma" w:hAnsi="Tahoma" w:cs="Tahoma"/>
          <w:color w:val="000000"/>
          <w:lang w:eastAsia="fi-FI"/>
        </w:rPr>
        <w:t xml:space="preserve">Valtionvarainministeriön Kuntatalousohjelman 2023-2026 mukaan </w:t>
      </w:r>
      <w:proofErr w:type="spellStart"/>
      <w:r w:rsidRPr="00F528B5">
        <w:rPr>
          <w:rFonts w:ascii="Tahoma" w:eastAsia="Tahoma" w:hAnsi="Tahoma" w:cs="Tahoma"/>
          <w:color w:val="000000"/>
          <w:lang w:eastAsia="fi-FI"/>
        </w:rPr>
        <w:t>sote</w:t>
      </w:r>
      <w:proofErr w:type="spellEnd"/>
      <w:r w:rsidRPr="00F528B5">
        <w:rPr>
          <w:rFonts w:ascii="Tahoma" w:eastAsia="Tahoma" w:hAnsi="Tahoma" w:cs="Tahoma"/>
          <w:color w:val="000000"/>
          <w:lang w:eastAsia="fi-FI"/>
        </w:rPr>
        <w:t xml:space="preserve">-uudistuksen myötä noin 70% kuntien verotulomenetysten korvauksista siirretään hyvinvointialueiden rahoitukseen. </w:t>
      </w:r>
    </w:p>
    <w:p w:rsidR="00F528B5" w:rsidRPr="00F528B5" w:rsidRDefault="00F528B5" w:rsidP="00151640">
      <w:pPr>
        <w:spacing w:after="270" w:line="247" w:lineRule="auto"/>
        <w:ind w:left="-5" w:right="961" w:hanging="10"/>
        <w:jc w:val="both"/>
        <w:rPr>
          <w:rFonts w:ascii="Tahoma" w:eastAsia="Tahoma" w:hAnsi="Tahoma" w:cs="Tahoma"/>
          <w:color w:val="000000"/>
          <w:lang w:eastAsia="fi-FI"/>
        </w:rPr>
      </w:pPr>
      <w:r w:rsidRPr="00F528B5">
        <w:rPr>
          <w:rFonts w:ascii="Tahoma" w:eastAsia="Tahoma" w:hAnsi="Tahoma" w:cs="Tahoma"/>
          <w:color w:val="000000"/>
          <w:lang w:eastAsia="fi-FI"/>
        </w:rPr>
        <w:t xml:space="preserve">Veroperustemuutosten vaikutus kuntien verotuottoon kompensoidaan nettomääräisesti kunnille. Vuoden 2023 jälkeen verotulomenetysten korvaukset kasvavat maltillisesti.  </w:t>
      </w:r>
    </w:p>
    <w:p w:rsidR="00F528B5" w:rsidRDefault="00F528B5" w:rsidP="00151640">
      <w:pPr>
        <w:spacing w:after="3" w:line="247" w:lineRule="auto"/>
        <w:ind w:left="-5" w:right="961" w:hanging="10"/>
        <w:jc w:val="both"/>
        <w:rPr>
          <w:rFonts w:ascii="Tahoma" w:eastAsia="Tahoma" w:hAnsi="Tahoma" w:cs="Tahoma"/>
          <w:color w:val="000000"/>
          <w:lang w:eastAsia="fi-FI"/>
        </w:rPr>
      </w:pPr>
      <w:r w:rsidRPr="00F528B5">
        <w:rPr>
          <w:rFonts w:ascii="Tahoma" w:eastAsia="Tahoma" w:hAnsi="Tahoma" w:cs="Tahoma"/>
          <w:color w:val="000000"/>
          <w:lang w:eastAsia="fi-FI"/>
        </w:rPr>
        <w:t>Kuntaliiton viimeisimmän</w:t>
      </w:r>
      <w:r>
        <w:rPr>
          <w:rFonts w:ascii="Tahoma" w:eastAsia="Tahoma" w:hAnsi="Tahoma" w:cs="Tahoma"/>
          <w:color w:val="000000"/>
          <w:lang w:eastAsia="fi-FI"/>
        </w:rPr>
        <w:t xml:space="preserve"> syyskuun</w:t>
      </w:r>
      <w:r w:rsidRPr="00F528B5">
        <w:rPr>
          <w:rFonts w:ascii="Tahoma" w:eastAsia="Tahoma" w:hAnsi="Tahoma" w:cs="Tahoma"/>
          <w:color w:val="000000"/>
          <w:lang w:eastAsia="fi-FI"/>
        </w:rPr>
        <w:t xml:space="preserve"> ve</w:t>
      </w:r>
      <w:r>
        <w:rPr>
          <w:rFonts w:ascii="Tahoma" w:eastAsia="Tahoma" w:hAnsi="Tahoma" w:cs="Tahoma"/>
          <w:color w:val="000000"/>
          <w:lang w:eastAsia="fi-FI"/>
        </w:rPr>
        <w:t xml:space="preserve">roennustekehikon mukaan Kihniön </w:t>
      </w:r>
      <w:r w:rsidRPr="00F528B5">
        <w:rPr>
          <w:rFonts w:ascii="Tahoma" w:eastAsia="Tahoma" w:hAnsi="Tahoma" w:cs="Tahoma"/>
          <w:color w:val="000000"/>
          <w:lang w:eastAsia="fi-FI"/>
        </w:rPr>
        <w:t xml:space="preserve">kunnan verotulot vuonna 2023 ovat </w:t>
      </w:r>
      <w:r>
        <w:rPr>
          <w:rFonts w:ascii="Tahoma" w:eastAsia="Tahoma" w:hAnsi="Tahoma" w:cs="Tahoma"/>
          <w:color w:val="000000"/>
          <w:lang w:eastAsia="fi-FI"/>
        </w:rPr>
        <w:t>3 702 000</w:t>
      </w:r>
      <w:r w:rsidRPr="00F528B5">
        <w:rPr>
          <w:rFonts w:ascii="Tahoma" w:eastAsia="Tahoma" w:hAnsi="Tahoma" w:cs="Tahoma"/>
          <w:color w:val="000000"/>
          <w:lang w:eastAsia="fi-FI"/>
        </w:rPr>
        <w:t xml:space="preserve"> euroa. Vähennys vuoden 2022 ennustettuun v</w:t>
      </w:r>
      <w:r w:rsidR="005B6DEA">
        <w:rPr>
          <w:rFonts w:ascii="Tahoma" w:eastAsia="Tahoma" w:hAnsi="Tahoma" w:cs="Tahoma"/>
          <w:color w:val="000000"/>
          <w:lang w:eastAsia="fi-FI"/>
        </w:rPr>
        <w:t>erotuloon on 44,7 % (- 2.989.000</w:t>
      </w:r>
      <w:r w:rsidRPr="00F528B5">
        <w:rPr>
          <w:rFonts w:ascii="Tahoma" w:eastAsia="Tahoma" w:hAnsi="Tahoma" w:cs="Tahoma"/>
          <w:color w:val="000000"/>
          <w:lang w:eastAsia="fi-FI"/>
        </w:rPr>
        <w:t xml:space="preserve"> euroa). Viimeisen ennusteen mukaan vuoden 2022 verotulot ovat </w:t>
      </w:r>
      <w:r w:rsidR="005B6DEA">
        <w:rPr>
          <w:rFonts w:ascii="Tahoma" w:eastAsia="Tahoma" w:hAnsi="Tahoma" w:cs="Tahoma"/>
          <w:color w:val="000000"/>
          <w:lang w:eastAsia="fi-FI"/>
        </w:rPr>
        <w:t>6.691.000 euroa mikä on 423.000</w:t>
      </w:r>
      <w:r w:rsidRPr="00F528B5">
        <w:rPr>
          <w:rFonts w:ascii="Tahoma" w:eastAsia="Tahoma" w:hAnsi="Tahoma" w:cs="Tahoma"/>
          <w:color w:val="000000"/>
          <w:lang w:eastAsia="fi-FI"/>
        </w:rPr>
        <w:t xml:space="preserve"> euroa enemmän kuin talousarvion ennuste</w:t>
      </w:r>
      <w:r w:rsidR="005B6DEA">
        <w:rPr>
          <w:rFonts w:ascii="Tahoma" w:eastAsia="Tahoma" w:hAnsi="Tahoma" w:cs="Tahoma"/>
          <w:color w:val="000000"/>
          <w:lang w:eastAsia="fi-FI"/>
        </w:rPr>
        <w:t>.</w:t>
      </w:r>
    </w:p>
    <w:p w:rsidR="00F528B5" w:rsidRDefault="00F528B5" w:rsidP="00151640">
      <w:pPr>
        <w:spacing w:after="3" w:line="247" w:lineRule="auto"/>
        <w:ind w:left="-5" w:right="961" w:hanging="10"/>
        <w:jc w:val="both"/>
        <w:rPr>
          <w:rFonts w:ascii="Tahoma" w:eastAsia="Tahoma" w:hAnsi="Tahoma" w:cs="Tahoma"/>
          <w:color w:val="000000"/>
          <w:lang w:eastAsia="fi-FI"/>
        </w:rPr>
      </w:pPr>
    </w:p>
    <w:p w:rsidR="00151640" w:rsidRDefault="00F528B5" w:rsidP="00151640">
      <w:pPr>
        <w:spacing w:after="3" w:line="247" w:lineRule="auto"/>
        <w:ind w:left="-5" w:right="961" w:hanging="10"/>
        <w:jc w:val="both"/>
        <w:rPr>
          <w:rFonts w:ascii="Tahoma" w:eastAsia="Tahoma" w:hAnsi="Tahoma" w:cs="Tahoma"/>
          <w:color w:val="000000"/>
          <w:lang w:eastAsia="fi-FI"/>
        </w:rPr>
      </w:pPr>
      <w:r w:rsidRPr="00F528B5">
        <w:rPr>
          <w:rFonts w:ascii="Tahoma" w:eastAsia="Tahoma" w:hAnsi="Tahoma" w:cs="Tahoma"/>
          <w:color w:val="000000"/>
          <w:lang w:eastAsia="fi-FI"/>
        </w:rPr>
        <w:t xml:space="preserve">Osana tulojen siirtoa tuloveroprosenttia vuodelle 2023 alennetaan 12,64 % vuoden 2022 vastaavasta, mikä ei kuitenkaan vielä näy täysimääräisesti vuonna 2023 verojen </w:t>
      </w:r>
      <w:r w:rsidR="00151640">
        <w:rPr>
          <w:rFonts w:ascii="Tahoma" w:eastAsia="Tahoma" w:hAnsi="Tahoma" w:cs="Tahoma"/>
          <w:color w:val="000000"/>
          <w:lang w:eastAsia="fi-FI"/>
        </w:rPr>
        <w:t>ke</w:t>
      </w:r>
      <w:r w:rsidRPr="00F528B5">
        <w:rPr>
          <w:rFonts w:ascii="Tahoma" w:eastAsia="Tahoma" w:hAnsi="Tahoma" w:cs="Tahoma"/>
          <w:color w:val="000000"/>
          <w:lang w:eastAsia="fi-FI"/>
        </w:rPr>
        <w:t>r</w:t>
      </w:r>
      <w:r w:rsidR="00151640">
        <w:rPr>
          <w:rFonts w:ascii="Tahoma" w:eastAsia="Tahoma" w:hAnsi="Tahoma" w:cs="Tahoma"/>
          <w:color w:val="000000"/>
          <w:lang w:eastAsia="fi-FI"/>
        </w:rPr>
        <w:t xml:space="preserve">tymärytmin </w:t>
      </w:r>
      <w:r w:rsidRPr="00F528B5">
        <w:rPr>
          <w:rFonts w:ascii="Tahoma" w:eastAsia="Tahoma" w:hAnsi="Tahoma" w:cs="Tahoma"/>
          <w:color w:val="000000"/>
          <w:lang w:eastAsia="fi-FI"/>
        </w:rPr>
        <w:t xml:space="preserve">takia.  </w:t>
      </w:r>
    </w:p>
    <w:p w:rsidR="00F528B5" w:rsidRPr="00F528B5" w:rsidRDefault="005B6DEA" w:rsidP="00F528B5">
      <w:pPr>
        <w:spacing w:after="3" w:line="247" w:lineRule="auto"/>
        <w:ind w:left="-5" w:right="961" w:hanging="10"/>
        <w:rPr>
          <w:rFonts w:ascii="Tahoma" w:eastAsia="Tahoma" w:hAnsi="Tahoma" w:cs="Tahoma"/>
          <w:color w:val="000000"/>
          <w:lang w:eastAsia="fi-FI"/>
        </w:rPr>
      </w:pPr>
      <w:r w:rsidRPr="00F528B5">
        <w:rPr>
          <w:noProof/>
          <w:lang w:eastAsia="fi-FI"/>
        </w:rPr>
        <w:drawing>
          <wp:inline distT="0" distB="0" distL="0" distR="0" wp14:anchorId="14F8DB21" wp14:editId="29FB46D3">
            <wp:extent cx="4750607" cy="23050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5265" cy="2336423"/>
                    </a:xfrm>
                    <a:prstGeom prst="rect">
                      <a:avLst/>
                    </a:prstGeom>
                    <a:noFill/>
                    <a:ln>
                      <a:noFill/>
                    </a:ln>
                  </pic:spPr>
                </pic:pic>
              </a:graphicData>
            </a:graphic>
          </wp:inline>
        </w:drawing>
      </w:r>
    </w:p>
    <w:p w:rsidR="006523C3" w:rsidRDefault="006523C3" w:rsidP="007D70DC">
      <w:pPr>
        <w:spacing w:after="0" w:line="240" w:lineRule="auto"/>
        <w:rPr>
          <w:rFonts w:ascii="Arial" w:eastAsia="Times New Roman" w:hAnsi="Arial" w:cs="Arial"/>
          <w:b/>
          <w:bCs/>
          <w:color w:val="FF0000"/>
          <w:sz w:val="24"/>
          <w:szCs w:val="24"/>
          <w:shd w:val="clear" w:color="auto" w:fill="FFFFFF"/>
          <w:lang w:eastAsia="fi-FI"/>
        </w:rPr>
      </w:pPr>
    </w:p>
    <w:p w:rsidR="007D70DC" w:rsidRPr="00625115" w:rsidRDefault="007D70DC" w:rsidP="007D70DC">
      <w:pPr>
        <w:spacing w:after="0" w:line="240" w:lineRule="auto"/>
        <w:rPr>
          <w:rFonts w:ascii="Tahoma" w:eastAsia="Times New Roman" w:hAnsi="Tahoma" w:cs="Tahoma"/>
          <w:b/>
          <w:bCs/>
          <w:sz w:val="24"/>
          <w:szCs w:val="24"/>
          <w:shd w:val="clear" w:color="auto" w:fill="FFFFFF"/>
          <w:lang w:eastAsia="fi-FI"/>
        </w:rPr>
      </w:pPr>
      <w:r w:rsidRPr="007D70DC">
        <w:rPr>
          <w:rFonts w:ascii="Tahoma" w:eastAsia="Times New Roman" w:hAnsi="Tahoma" w:cs="Tahoma"/>
          <w:b/>
          <w:bCs/>
          <w:sz w:val="24"/>
          <w:szCs w:val="24"/>
          <w:shd w:val="clear" w:color="auto" w:fill="FFFFFF"/>
          <w:lang w:eastAsia="fi-FI"/>
        </w:rPr>
        <w:t>Meno- ja tulomääräraha</w:t>
      </w:r>
    </w:p>
    <w:p w:rsidR="006523C3" w:rsidRPr="007D70DC" w:rsidRDefault="006523C3" w:rsidP="007D70DC">
      <w:pPr>
        <w:spacing w:after="0" w:line="240" w:lineRule="auto"/>
        <w:rPr>
          <w:rFonts w:ascii="Tahoma" w:eastAsia="Times New Roman" w:hAnsi="Tahoma" w:cs="Tahoma"/>
          <w:lang w:eastAsia="fi-FI"/>
        </w:rPr>
      </w:pPr>
    </w:p>
    <w:p w:rsidR="00B71E7A" w:rsidRDefault="007D70DC" w:rsidP="00B71E7A">
      <w:pPr>
        <w:shd w:val="clear" w:color="auto" w:fill="FFFFFF"/>
        <w:spacing w:after="100" w:afterAutospacing="1" w:line="240" w:lineRule="auto"/>
        <w:rPr>
          <w:rFonts w:ascii="Tahoma" w:eastAsia="Times New Roman" w:hAnsi="Tahoma" w:cs="Tahoma"/>
          <w:lang w:eastAsia="fi-FI"/>
        </w:rPr>
      </w:pPr>
      <w:r w:rsidRPr="00B71E7A">
        <w:rPr>
          <w:rFonts w:ascii="Tahoma" w:eastAsia="Times New Roman" w:hAnsi="Tahoma" w:cs="Tahoma"/>
          <w:lang w:eastAsia="fi-FI"/>
        </w:rPr>
        <w:t>Talousarvioon otetaan tehtävien ja toiminnantavoitteiden edellyttämät määrärahat ja tuloarviot.</w:t>
      </w:r>
      <w:r w:rsidR="006523C3" w:rsidRPr="00B71E7A">
        <w:rPr>
          <w:rFonts w:ascii="Tahoma" w:eastAsia="Times New Roman" w:hAnsi="Tahoma" w:cs="Tahoma"/>
          <w:lang w:eastAsia="fi-FI"/>
        </w:rPr>
        <w:t xml:space="preserve"> </w:t>
      </w:r>
      <w:r w:rsidR="00C23ECF" w:rsidRPr="00B71E7A">
        <w:rPr>
          <w:rFonts w:ascii="Tahoma" w:eastAsia="Times New Roman" w:hAnsi="Tahoma" w:cs="Tahoma"/>
          <w:lang w:eastAsia="fi-FI"/>
        </w:rPr>
        <w:t>Talousarviossa käytetään nettobudjetointia. (</w:t>
      </w:r>
      <w:r w:rsidRPr="00B71E7A">
        <w:rPr>
          <w:rFonts w:ascii="Tahoma" w:eastAsia="Times New Roman" w:hAnsi="Tahoma" w:cs="Tahoma"/>
          <w:lang w:eastAsia="fi-FI"/>
        </w:rPr>
        <w:t>käyttötalouden tulojen ja menojen erotus)</w:t>
      </w:r>
    </w:p>
    <w:p w:rsidR="007D70DC" w:rsidRDefault="00B71E7A" w:rsidP="00B71E7A">
      <w:pPr>
        <w:shd w:val="clear" w:color="auto" w:fill="FFFFFF"/>
        <w:spacing w:after="100" w:afterAutospacing="1" w:line="240" w:lineRule="auto"/>
        <w:rPr>
          <w:rFonts w:ascii="Tahoma" w:eastAsia="Times New Roman" w:hAnsi="Tahoma" w:cs="Tahoma"/>
          <w:lang w:eastAsia="fi-FI"/>
        </w:rPr>
      </w:pPr>
      <w:r w:rsidRPr="00B71E7A">
        <w:rPr>
          <w:rFonts w:ascii="Tahoma" w:eastAsia="Times New Roman" w:hAnsi="Tahoma" w:cs="Tahoma"/>
          <w:lang w:eastAsia="fi-FI"/>
        </w:rPr>
        <w:t>Menot ja t</w:t>
      </w:r>
      <w:r w:rsidR="007D70DC" w:rsidRPr="00B71E7A">
        <w:rPr>
          <w:rFonts w:ascii="Tahoma" w:eastAsia="Times New Roman" w:hAnsi="Tahoma" w:cs="Tahoma"/>
          <w:lang w:eastAsia="fi-FI"/>
        </w:rPr>
        <w:t>ulot tulee budjetoida realistisesti. Hallintokunnat tarkastavat maksunsa ja taksansa syksyllä 202</w:t>
      </w:r>
      <w:r w:rsidRPr="00B71E7A">
        <w:rPr>
          <w:rFonts w:ascii="Tahoma" w:eastAsia="Times New Roman" w:hAnsi="Tahoma" w:cs="Tahoma"/>
          <w:lang w:eastAsia="fi-FI"/>
        </w:rPr>
        <w:t>2</w:t>
      </w:r>
      <w:r w:rsidR="007D70DC" w:rsidRPr="00B71E7A">
        <w:rPr>
          <w:rFonts w:ascii="Tahoma" w:eastAsia="Times New Roman" w:hAnsi="Tahoma" w:cs="Tahoma"/>
          <w:lang w:eastAsia="fi-FI"/>
        </w:rPr>
        <w:t>. Mahdolliset muutokset vuoden 202</w:t>
      </w:r>
      <w:r w:rsidRPr="00B71E7A">
        <w:rPr>
          <w:rFonts w:ascii="Tahoma" w:eastAsia="Times New Roman" w:hAnsi="Tahoma" w:cs="Tahoma"/>
          <w:lang w:eastAsia="fi-FI"/>
        </w:rPr>
        <w:t>3</w:t>
      </w:r>
      <w:r w:rsidR="007D70DC" w:rsidRPr="00B71E7A">
        <w:rPr>
          <w:rFonts w:ascii="Tahoma" w:eastAsia="Times New Roman" w:hAnsi="Tahoma" w:cs="Tahoma"/>
          <w:lang w:eastAsia="fi-FI"/>
        </w:rPr>
        <w:t xml:space="preserve"> alusta alkaen.</w:t>
      </w:r>
    </w:p>
    <w:p w:rsidR="002626A8" w:rsidRPr="009874DC" w:rsidRDefault="002626A8" w:rsidP="00B71E7A">
      <w:pPr>
        <w:shd w:val="clear" w:color="auto" w:fill="FFFFFF"/>
        <w:spacing w:after="100" w:afterAutospacing="1" w:line="240" w:lineRule="auto"/>
        <w:rPr>
          <w:rFonts w:ascii="Tahoma" w:eastAsia="Times New Roman" w:hAnsi="Tahoma" w:cs="Tahoma"/>
          <w:b/>
          <w:i/>
          <w:lang w:eastAsia="fi-FI"/>
        </w:rPr>
      </w:pPr>
      <w:r w:rsidRPr="009874DC">
        <w:rPr>
          <w:rFonts w:ascii="Tahoma" w:eastAsia="Times New Roman" w:hAnsi="Tahoma" w:cs="Tahoma"/>
          <w:b/>
          <w:i/>
          <w:lang w:eastAsia="fi-FI"/>
        </w:rPr>
        <w:t>Sivistyslautakunta</w:t>
      </w:r>
    </w:p>
    <w:p w:rsidR="009425D2" w:rsidRDefault="002626A8" w:rsidP="009425D2">
      <w:pPr>
        <w:shd w:val="clear" w:color="auto" w:fill="FFFFFF"/>
        <w:spacing w:after="100" w:afterAutospacing="1" w:line="240" w:lineRule="auto"/>
        <w:ind w:right="-227"/>
        <w:rPr>
          <w:rFonts w:ascii="Tahoma" w:eastAsia="Times New Roman" w:hAnsi="Tahoma" w:cs="Tahoma"/>
          <w:lang w:eastAsia="fi-FI"/>
        </w:rPr>
      </w:pPr>
      <w:r w:rsidRPr="002626A8">
        <w:rPr>
          <w:rFonts w:ascii="Tahoma" w:eastAsia="Times New Roman" w:hAnsi="Tahoma" w:cs="Tahoma"/>
          <w:lang w:eastAsia="fi-FI"/>
        </w:rPr>
        <w:t xml:space="preserve">Huomio </w:t>
      </w:r>
      <w:r>
        <w:rPr>
          <w:rFonts w:ascii="Tahoma" w:eastAsia="Times New Roman" w:hAnsi="Tahoma" w:cs="Tahoma"/>
          <w:lang w:eastAsia="fi-FI"/>
        </w:rPr>
        <w:t>koulukuraattorin siirtymis</w:t>
      </w:r>
      <w:r w:rsidR="000055F5">
        <w:rPr>
          <w:rFonts w:ascii="Tahoma" w:eastAsia="Times New Roman" w:hAnsi="Tahoma" w:cs="Tahoma"/>
          <w:lang w:eastAsia="fi-FI"/>
        </w:rPr>
        <w:t xml:space="preserve">en hyvinvointialueelle -32.000. Budjettiin ei lisätä erikseen </w:t>
      </w:r>
      <w:r w:rsidR="009425D2">
        <w:rPr>
          <w:rFonts w:ascii="Tahoma" w:eastAsia="Times New Roman" w:hAnsi="Tahoma" w:cs="Tahoma"/>
          <w:lang w:eastAsia="fi-FI"/>
        </w:rPr>
        <w:t xml:space="preserve">sivistystoimen johtajan/ </w:t>
      </w:r>
      <w:r w:rsidR="000055F5">
        <w:rPr>
          <w:rFonts w:ascii="Tahoma" w:eastAsia="Times New Roman" w:hAnsi="Tahoma" w:cs="Tahoma"/>
          <w:lang w:eastAsia="fi-FI"/>
        </w:rPr>
        <w:t>hyvinvointijohtajan  palkkakuluja</w:t>
      </w:r>
      <w:r w:rsidR="009425D2">
        <w:rPr>
          <w:rFonts w:ascii="Tahoma" w:eastAsia="Times New Roman" w:hAnsi="Tahoma" w:cs="Tahoma"/>
          <w:lang w:eastAsia="fi-FI"/>
        </w:rPr>
        <w:t>.</w:t>
      </w:r>
      <w:r w:rsidR="00D05896">
        <w:rPr>
          <w:rFonts w:ascii="Tahoma" w:eastAsia="Times New Roman" w:hAnsi="Tahoma" w:cs="Tahoma"/>
          <w:lang w:eastAsia="fi-FI"/>
        </w:rPr>
        <w:t xml:space="preserve"> </w:t>
      </w:r>
      <w:r w:rsidR="009425D2">
        <w:rPr>
          <w:rFonts w:ascii="Tahoma" w:eastAsia="Times New Roman" w:hAnsi="Tahoma" w:cs="Tahoma"/>
          <w:lang w:eastAsia="fi-FI"/>
        </w:rPr>
        <w:t xml:space="preserve"> </w:t>
      </w:r>
      <w:r w:rsidR="00D05896" w:rsidRPr="00D05896">
        <w:rPr>
          <w:rFonts w:ascii="Tahoma" w:eastAsia="Times New Roman" w:hAnsi="Tahoma" w:cs="Tahoma"/>
          <w:lang w:eastAsia="fi-FI"/>
        </w:rPr>
        <w:t>Palkat tarkastellaan vakanssikohtaisesti.</w:t>
      </w:r>
      <w:r w:rsidR="00D05896">
        <w:rPr>
          <w:rFonts w:ascii="Tahoma" w:eastAsia="Times New Roman" w:hAnsi="Tahoma" w:cs="Tahoma"/>
          <w:lang w:eastAsia="fi-FI"/>
        </w:rPr>
        <w:t xml:space="preserve"> </w:t>
      </w:r>
      <w:r w:rsidR="009425D2">
        <w:rPr>
          <w:rFonts w:ascii="Tahoma" w:eastAsia="Times New Roman" w:hAnsi="Tahoma" w:cs="Tahoma"/>
          <w:lang w:eastAsia="fi-FI"/>
        </w:rPr>
        <w:t xml:space="preserve">Palkkakuluihin sekä menoihin 3 % korotus. </w:t>
      </w:r>
    </w:p>
    <w:p w:rsidR="009425D2" w:rsidRDefault="009425D2" w:rsidP="009425D2">
      <w:pPr>
        <w:shd w:val="clear" w:color="auto" w:fill="FFFFFF"/>
        <w:spacing w:after="100" w:afterAutospacing="1" w:line="240" w:lineRule="auto"/>
        <w:ind w:right="-227"/>
        <w:rPr>
          <w:rFonts w:ascii="Tahoma" w:eastAsia="Times New Roman" w:hAnsi="Tahoma" w:cs="Tahoma"/>
          <w:lang w:eastAsia="fi-FI"/>
        </w:rPr>
      </w:pPr>
      <w:r>
        <w:rPr>
          <w:rFonts w:ascii="Tahoma" w:eastAsia="Times New Roman" w:hAnsi="Tahoma" w:cs="Tahoma"/>
          <w:lang w:eastAsia="fi-FI"/>
        </w:rPr>
        <w:t xml:space="preserve">Sivistyslautakunnan neton muodostaa </w:t>
      </w:r>
      <w:proofErr w:type="gramStart"/>
      <w:r>
        <w:rPr>
          <w:rFonts w:ascii="Tahoma" w:eastAsia="Times New Roman" w:hAnsi="Tahoma" w:cs="Tahoma"/>
          <w:lang w:eastAsia="fi-FI"/>
        </w:rPr>
        <w:t>em.henkilöstökulut</w:t>
      </w:r>
      <w:proofErr w:type="gramEnd"/>
      <w:r>
        <w:rPr>
          <w:rFonts w:ascii="Tahoma" w:eastAsia="Times New Roman" w:hAnsi="Tahoma" w:cs="Tahoma"/>
          <w:lang w:eastAsia="fi-FI"/>
        </w:rPr>
        <w:t xml:space="preserve"> ja menojen korotus 3 % vuoden 2022 tasoon nähden. </w:t>
      </w:r>
    </w:p>
    <w:p w:rsidR="009425D2" w:rsidRPr="009874DC" w:rsidRDefault="00122584" w:rsidP="009425D2">
      <w:pPr>
        <w:shd w:val="clear" w:color="auto" w:fill="FFFFFF"/>
        <w:spacing w:after="100" w:afterAutospacing="1" w:line="240" w:lineRule="auto"/>
        <w:ind w:right="-227"/>
        <w:rPr>
          <w:rFonts w:ascii="Tahoma" w:eastAsia="Times New Roman" w:hAnsi="Tahoma" w:cs="Tahoma"/>
          <w:b/>
          <w:i/>
          <w:lang w:eastAsia="fi-FI"/>
        </w:rPr>
      </w:pPr>
      <w:r w:rsidRPr="009874DC">
        <w:rPr>
          <w:rFonts w:ascii="Tahoma" w:eastAsia="Times New Roman" w:hAnsi="Tahoma" w:cs="Tahoma"/>
          <w:b/>
          <w:i/>
          <w:lang w:eastAsia="fi-FI"/>
        </w:rPr>
        <w:t>Tekninen lautakunta</w:t>
      </w:r>
    </w:p>
    <w:p w:rsidR="007D70DC" w:rsidRDefault="007D70DC" w:rsidP="007D70DC">
      <w:pPr>
        <w:shd w:val="clear" w:color="auto" w:fill="FFFFFF"/>
        <w:spacing w:after="100" w:afterAutospacing="1" w:line="240" w:lineRule="auto"/>
        <w:jc w:val="both"/>
        <w:rPr>
          <w:rFonts w:ascii="Tahoma" w:eastAsia="Times New Roman" w:hAnsi="Tahoma" w:cs="Tahoma"/>
          <w:lang w:eastAsia="fi-FI"/>
        </w:rPr>
      </w:pPr>
      <w:r w:rsidRPr="00122584">
        <w:rPr>
          <w:rFonts w:ascii="Tahoma" w:eastAsia="Times New Roman" w:hAnsi="Tahoma" w:cs="Tahoma"/>
          <w:lang w:eastAsia="fi-FI"/>
        </w:rPr>
        <w:t>Tekninen lautakunta huomioi</w:t>
      </w:r>
      <w:r w:rsidR="00122584" w:rsidRPr="00122584">
        <w:rPr>
          <w:rFonts w:ascii="Tahoma" w:eastAsia="Times New Roman" w:hAnsi="Tahoma" w:cs="Tahoma"/>
          <w:lang w:eastAsia="fi-FI"/>
        </w:rPr>
        <w:t xml:space="preserve"> palkkakulujen</w:t>
      </w:r>
      <w:r w:rsidR="00122584">
        <w:rPr>
          <w:rFonts w:ascii="Tahoma" w:eastAsia="Times New Roman" w:hAnsi="Tahoma" w:cs="Tahoma"/>
          <w:lang w:eastAsia="fi-FI"/>
        </w:rPr>
        <w:t xml:space="preserve"> </w:t>
      </w:r>
      <w:r w:rsidR="00122584" w:rsidRPr="00122584">
        <w:rPr>
          <w:rFonts w:ascii="Tahoma" w:eastAsia="Times New Roman" w:hAnsi="Tahoma" w:cs="Tahoma"/>
          <w:lang w:eastAsia="fi-FI"/>
        </w:rPr>
        <w:t>oikean kohdentamisen (käyttötalous/investoinnit), palotoimen siirtymisen hyvinvointialueelle – 157.200 euroa. Teknisen toimen netto muodostuu em. mainittujen toimien lisäksi vuoden 2022 neton lisäyksellä 3 % ja vähentämällä hyvinvointialueen maksamat vuokrat.</w:t>
      </w:r>
      <w:r w:rsidR="00501E32">
        <w:rPr>
          <w:rFonts w:ascii="Tahoma" w:eastAsia="Times New Roman" w:hAnsi="Tahoma" w:cs="Tahoma"/>
          <w:lang w:eastAsia="fi-FI"/>
        </w:rPr>
        <w:t xml:space="preserve"> Palkkoihin 3 % korotus.</w:t>
      </w:r>
      <w:r w:rsidR="00D05896" w:rsidRPr="00D05896">
        <w:rPr>
          <w:rFonts w:ascii="Tahoma" w:eastAsia="Times New Roman" w:hAnsi="Tahoma" w:cs="Tahoma"/>
          <w:lang w:eastAsia="fi-FI"/>
        </w:rPr>
        <w:t xml:space="preserve"> Palkat tarkastellaan vakanssikohtaisesti.</w:t>
      </w:r>
    </w:p>
    <w:p w:rsidR="00122584" w:rsidRPr="009874DC" w:rsidRDefault="00122584" w:rsidP="007D70DC">
      <w:pPr>
        <w:shd w:val="clear" w:color="auto" w:fill="FFFFFF"/>
        <w:spacing w:after="100" w:afterAutospacing="1" w:line="240" w:lineRule="auto"/>
        <w:jc w:val="both"/>
        <w:rPr>
          <w:rFonts w:ascii="Tahoma" w:eastAsia="Times New Roman" w:hAnsi="Tahoma" w:cs="Tahoma"/>
          <w:b/>
          <w:i/>
          <w:lang w:eastAsia="fi-FI"/>
        </w:rPr>
      </w:pPr>
      <w:r w:rsidRPr="009874DC">
        <w:rPr>
          <w:rFonts w:ascii="Tahoma" w:eastAsia="Times New Roman" w:hAnsi="Tahoma" w:cs="Tahoma"/>
          <w:b/>
          <w:i/>
          <w:lang w:eastAsia="fi-FI"/>
        </w:rPr>
        <w:t>Kunnanhallitus</w:t>
      </w:r>
    </w:p>
    <w:p w:rsidR="00122584" w:rsidRDefault="00122584" w:rsidP="007D70DC">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Huomio</w:t>
      </w:r>
      <w:r w:rsidR="005E5158">
        <w:rPr>
          <w:rFonts w:ascii="Tahoma" w:eastAsia="Times New Roman" w:hAnsi="Tahoma" w:cs="Tahoma"/>
          <w:lang w:eastAsia="fi-FI"/>
        </w:rPr>
        <w:t>i</w:t>
      </w:r>
      <w:r>
        <w:rPr>
          <w:rFonts w:ascii="Tahoma" w:eastAsia="Times New Roman" w:hAnsi="Tahoma" w:cs="Tahoma"/>
          <w:lang w:eastAsia="fi-FI"/>
        </w:rPr>
        <w:t xml:space="preserve"> </w:t>
      </w:r>
      <w:proofErr w:type="spellStart"/>
      <w:r>
        <w:rPr>
          <w:rFonts w:ascii="Tahoma" w:eastAsia="Times New Roman" w:hAnsi="Tahoma" w:cs="Tahoma"/>
          <w:lang w:eastAsia="fi-FI"/>
        </w:rPr>
        <w:t>sosiaali</w:t>
      </w:r>
      <w:proofErr w:type="spellEnd"/>
      <w:r>
        <w:rPr>
          <w:rFonts w:ascii="Tahoma" w:eastAsia="Times New Roman" w:hAnsi="Tahoma" w:cs="Tahoma"/>
          <w:lang w:eastAsia="fi-FI"/>
        </w:rPr>
        <w:t>- ja terveyspalvelujen siirtymisen hyvinvointialueelle, eläkemenperusteisen maksun poistumisen sotehenkilöstön osalta. Korotus 3 % kuluihin ja palkkoihin.</w:t>
      </w:r>
      <w:r w:rsidR="00D05896">
        <w:rPr>
          <w:rFonts w:ascii="Tahoma" w:eastAsia="Times New Roman" w:hAnsi="Tahoma" w:cs="Tahoma"/>
          <w:lang w:eastAsia="fi-FI"/>
        </w:rPr>
        <w:t xml:space="preserve"> </w:t>
      </w:r>
      <w:r w:rsidR="00D05896" w:rsidRPr="00D05896">
        <w:rPr>
          <w:rFonts w:ascii="Tahoma" w:eastAsia="Times New Roman" w:hAnsi="Tahoma" w:cs="Tahoma"/>
          <w:lang w:eastAsia="fi-FI"/>
        </w:rPr>
        <w:t>Palkat tarkastellaan vakanssikohtaisesti.</w:t>
      </w:r>
    </w:p>
    <w:p w:rsidR="00501E32" w:rsidRPr="00122584" w:rsidRDefault="00501E32" w:rsidP="007D70DC">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Valtuustoon nähden sitovuustaso on lautakuntakohtainen.</w:t>
      </w:r>
      <w:r w:rsidR="0040699F">
        <w:rPr>
          <w:rFonts w:ascii="Tahoma" w:eastAsia="Times New Roman" w:hAnsi="Tahoma" w:cs="Tahoma"/>
          <w:lang w:eastAsia="fi-FI"/>
        </w:rPr>
        <w:t xml:space="preserve"> Suunnitteluvuosina pyritään realistiseen arvioon. </w:t>
      </w:r>
    </w:p>
    <w:p w:rsidR="007D70DC" w:rsidRPr="00B71E7A" w:rsidRDefault="007D70DC" w:rsidP="007D70DC">
      <w:pPr>
        <w:shd w:val="clear" w:color="auto" w:fill="FFFFFF"/>
        <w:spacing w:after="100" w:afterAutospacing="1" w:line="240" w:lineRule="auto"/>
        <w:rPr>
          <w:rFonts w:ascii="Tahoma" w:eastAsia="Times New Roman" w:hAnsi="Tahoma" w:cs="Tahoma"/>
          <w:sz w:val="24"/>
          <w:szCs w:val="24"/>
          <w:lang w:eastAsia="fi-FI"/>
        </w:rPr>
      </w:pPr>
      <w:r w:rsidRPr="007D70DC">
        <w:rPr>
          <w:rFonts w:ascii="Tahoma" w:eastAsia="Times New Roman" w:hAnsi="Tahoma" w:cs="Tahoma"/>
          <w:b/>
          <w:bCs/>
          <w:sz w:val="24"/>
          <w:szCs w:val="24"/>
          <w:lang w:eastAsia="fi-FI"/>
        </w:rPr>
        <w:t>Henkilöstömenot</w:t>
      </w:r>
    </w:p>
    <w:p w:rsidR="00676A11" w:rsidRPr="006523C3" w:rsidRDefault="00676A11" w:rsidP="00E157E7">
      <w:pPr>
        <w:spacing w:after="3" w:line="247" w:lineRule="auto"/>
        <w:ind w:left="10" w:right="227" w:hanging="10"/>
        <w:jc w:val="both"/>
        <w:rPr>
          <w:rFonts w:ascii="Tahoma" w:eastAsia="Tahoma" w:hAnsi="Tahoma" w:cs="Tahoma"/>
          <w:color w:val="000000"/>
          <w:lang w:eastAsia="fi-FI"/>
        </w:rPr>
      </w:pPr>
      <w:r w:rsidRPr="006523C3">
        <w:rPr>
          <w:rFonts w:ascii="Tahoma" w:eastAsia="Tahoma" w:hAnsi="Tahoma" w:cs="Tahoma"/>
          <w:color w:val="000000"/>
          <w:lang w:eastAsia="fi-FI"/>
        </w:rPr>
        <w:t>KT, JAU ja JUKO pääsivät keväällä erillissopimukseen kunta-alan uusista työ- ja virkaehto</w:t>
      </w:r>
      <w:r w:rsidR="00E157E7">
        <w:rPr>
          <w:rFonts w:ascii="Tahoma" w:eastAsia="Tahoma" w:hAnsi="Tahoma" w:cs="Tahoma"/>
          <w:color w:val="000000"/>
          <w:lang w:eastAsia="fi-FI"/>
        </w:rPr>
        <w:t xml:space="preserve">- </w:t>
      </w:r>
      <w:r w:rsidRPr="006523C3">
        <w:rPr>
          <w:rFonts w:ascii="Tahoma" w:eastAsia="Tahoma" w:hAnsi="Tahoma" w:cs="Tahoma"/>
          <w:color w:val="000000"/>
          <w:lang w:eastAsia="fi-FI"/>
        </w:rPr>
        <w:t xml:space="preserve">sopimuksista. Sopimuskausi on 1.5.2022–30.4.2025. Kolmen vuoden sopimuskaudella työvoimakustannukset nousevat korkoa korolle laskien keskimäärin 8,79 prosenttia. </w:t>
      </w:r>
    </w:p>
    <w:p w:rsidR="00676A11" w:rsidRPr="006523C3" w:rsidRDefault="00676A11" w:rsidP="00E157E7">
      <w:pPr>
        <w:spacing w:after="0" w:line="256" w:lineRule="auto"/>
        <w:jc w:val="both"/>
        <w:rPr>
          <w:rFonts w:ascii="Tahoma" w:eastAsia="Tahoma" w:hAnsi="Tahoma" w:cs="Tahoma"/>
          <w:color w:val="000000"/>
          <w:lang w:eastAsia="fi-FI"/>
        </w:rPr>
      </w:pPr>
      <w:r w:rsidRPr="006523C3">
        <w:rPr>
          <w:rFonts w:ascii="Tahoma" w:eastAsia="Tahoma" w:hAnsi="Tahoma" w:cs="Tahoma"/>
          <w:color w:val="000000"/>
          <w:lang w:eastAsia="fi-FI"/>
        </w:rPr>
        <w:t xml:space="preserve"> </w:t>
      </w:r>
    </w:p>
    <w:p w:rsidR="00676A11" w:rsidRPr="006523C3" w:rsidRDefault="00676A11" w:rsidP="00E157E7">
      <w:pPr>
        <w:spacing w:after="3" w:line="247" w:lineRule="auto"/>
        <w:ind w:left="-5" w:right="340" w:hanging="10"/>
        <w:jc w:val="both"/>
        <w:rPr>
          <w:rFonts w:ascii="Tahoma" w:eastAsia="Tahoma" w:hAnsi="Tahoma" w:cs="Tahoma"/>
          <w:color w:val="000000"/>
          <w:lang w:eastAsia="fi-FI"/>
        </w:rPr>
      </w:pPr>
      <w:r w:rsidRPr="006523C3">
        <w:rPr>
          <w:rFonts w:ascii="Tahoma" w:eastAsia="Tahoma" w:hAnsi="Tahoma" w:cs="Tahoma"/>
          <w:color w:val="000000"/>
          <w:lang w:eastAsia="fi-FI"/>
        </w:rPr>
        <w:t xml:space="preserve">Vuoden 2023 palkat lasketaan </w:t>
      </w:r>
      <w:r w:rsidR="00B71E7A" w:rsidRPr="00676A11">
        <w:rPr>
          <w:rFonts w:ascii="Tahoma" w:eastAsia="Tahoma" w:hAnsi="Tahoma" w:cs="Tahoma"/>
          <w:color w:val="000000"/>
          <w:lang w:eastAsia="fi-FI"/>
        </w:rPr>
        <w:t xml:space="preserve">vakanssikohtaisesti </w:t>
      </w:r>
      <w:r w:rsidR="00B71E7A" w:rsidRPr="006523C3">
        <w:rPr>
          <w:rFonts w:ascii="Tahoma" w:eastAsia="Tahoma" w:hAnsi="Tahoma" w:cs="Tahoma"/>
          <w:color w:val="000000"/>
          <w:lang w:eastAsia="fi-FI"/>
        </w:rPr>
        <w:t>2022</w:t>
      </w:r>
      <w:r w:rsidRPr="00676A11">
        <w:rPr>
          <w:rFonts w:ascii="Tahoma" w:eastAsia="Tahoma" w:hAnsi="Tahoma" w:cs="Tahoma"/>
          <w:color w:val="000000"/>
          <w:lang w:eastAsia="fi-FI"/>
        </w:rPr>
        <w:t xml:space="preserve"> kustannustasossa lisättynä 3 </w:t>
      </w:r>
      <w:r w:rsidRPr="006523C3">
        <w:rPr>
          <w:rFonts w:ascii="Tahoma" w:eastAsia="Tahoma" w:hAnsi="Tahoma" w:cs="Tahoma"/>
          <w:color w:val="000000"/>
          <w:lang w:eastAsia="fi-FI"/>
        </w:rPr>
        <w:t xml:space="preserve">%:n korotuksella. </w:t>
      </w:r>
    </w:p>
    <w:p w:rsidR="00676A11" w:rsidRPr="00676A11" w:rsidRDefault="00676A11" w:rsidP="00E157E7">
      <w:pPr>
        <w:spacing w:after="3" w:line="247" w:lineRule="auto"/>
        <w:ind w:left="-5" w:right="850" w:hanging="10"/>
        <w:jc w:val="both"/>
        <w:rPr>
          <w:rFonts w:ascii="Tahoma" w:eastAsia="Tahoma" w:hAnsi="Tahoma" w:cs="Tahoma"/>
          <w:color w:val="000000"/>
          <w:lang w:eastAsia="fi-FI"/>
        </w:rPr>
      </w:pPr>
      <w:r w:rsidRPr="006523C3">
        <w:rPr>
          <w:rFonts w:ascii="Tahoma" w:eastAsia="Tahoma" w:hAnsi="Tahoma" w:cs="Tahoma"/>
          <w:color w:val="000000"/>
          <w:lang w:eastAsia="fi-FI"/>
        </w:rPr>
        <w:t xml:space="preserve">Korotuksessa on huomioitu sekä vuonna 2022 että 2023 tehtävät sopimuskorotukset. </w:t>
      </w:r>
    </w:p>
    <w:p w:rsidR="00676A11" w:rsidRPr="006523C3" w:rsidRDefault="00676A11" w:rsidP="00E157E7">
      <w:pPr>
        <w:spacing w:after="3" w:line="247" w:lineRule="auto"/>
        <w:ind w:left="-5" w:right="454" w:hanging="10"/>
        <w:jc w:val="both"/>
        <w:rPr>
          <w:rFonts w:ascii="Tahoma" w:eastAsia="Tahoma" w:hAnsi="Tahoma" w:cs="Tahoma"/>
          <w:color w:val="000000"/>
          <w:lang w:eastAsia="fi-FI"/>
        </w:rPr>
      </w:pPr>
      <w:r w:rsidRPr="00676A11">
        <w:rPr>
          <w:rFonts w:ascii="Tahoma" w:eastAsia="Tahoma" w:hAnsi="Tahoma" w:cs="Tahoma"/>
          <w:color w:val="000000"/>
          <w:lang w:eastAsia="fi-FI"/>
        </w:rPr>
        <w:t>Sivukulut lisätään palkanlaskennan toimesta talousarvio-ohjelmaan. Myös sivukulut kuuluvat asetettuun nettoon.</w:t>
      </w:r>
    </w:p>
    <w:p w:rsidR="00676A11" w:rsidRPr="00676A11" w:rsidRDefault="00676A11" w:rsidP="00676A11">
      <w:pPr>
        <w:spacing w:after="0" w:line="256" w:lineRule="auto"/>
        <w:rPr>
          <w:rFonts w:ascii="Tahoma" w:eastAsia="Tahoma" w:hAnsi="Tahoma" w:cs="Tahoma"/>
          <w:color w:val="000000"/>
          <w:lang w:eastAsia="fi-FI"/>
        </w:rPr>
      </w:pPr>
      <w:r w:rsidRPr="006523C3">
        <w:rPr>
          <w:rFonts w:ascii="Tahoma" w:eastAsia="Tahoma" w:hAnsi="Tahoma" w:cs="Tahoma"/>
          <w:color w:val="FF0000"/>
          <w:lang w:eastAsia="fi-FI"/>
        </w:rPr>
        <w:t xml:space="preserve"> </w:t>
      </w:r>
    </w:p>
    <w:p w:rsidR="00676A11" w:rsidRDefault="00676A11" w:rsidP="00E157E7">
      <w:pPr>
        <w:spacing w:after="3" w:line="247" w:lineRule="auto"/>
        <w:ind w:left="-5" w:right="113" w:hanging="10"/>
        <w:jc w:val="both"/>
        <w:rPr>
          <w:rFonts w:ascii="Tahoma" w:eastAsia="Tahoma" w:hAnsi="Tahoma" w:cs="Tahoma"/>
          <w:color w:val="000000"/>
          <w:lang w:eastAsia="fi-FI"/>
        </w:rPr>
      </w:pPr>
      <w:r w:rsidRPr="00676A11">
        <w:rPr>
          <w:rFonts w:ascii="Tahoma" w:eastAsia="Tahoma" w:hAnsi="Tahoma" w:cs="Tahoma"/>
          <w:color w:val="000000"/>
          <w:lang w:eastAsia="fi-FI"/>
        </w:rPr>
        <w:t>Eläkemenoperusteinen tasausmaksu jakautuu vuonna 2023 kunnalle ja hyvinvointialueelle. Kuntien maksettavaksi tuleva summa jaetaan kuntien kesken vuoden 2021 verorahoituksen suhteessa. Tasausmaksun ar</w:t>
      </w:r>
      <w:r>
        <w:rPr>
          <w:rFonts w:ascii="Tahoma" w:eastAsia="Tahoma" w:hAnsi="Tahoma" w:cs="Tahoma"/>
          <w:color w:val="000000"/>
          <w:lang w:eastAsia="fi-FI"/>
        </w:rPr>
        <w:t>vioitu määrä vuonna 2023 on  128</w:t>
      </w:r>
      <w:r w:rsidR="00B71E7A">
        <w:rPr>
          <w:rFonts w:ascii="Tahoma" w:eastAsia="Tahoma" w:hAnsi="Tahoma" w:cs="Tahoma"/>
          <w:color w:val="000000"/>
          <w:lang w:eastAsia="fi-FI"/>
        </w:rPr>
        <w:t>.433 euroa. Vuoden 2022 e</w:t>
      </w:r>
      <w:r w:rsidR="00B71E7A" w:rsidRPr="00B71E7A">
        <w:rPr>
          <w:rFonts w:ascii="Tahoma" w:eastAsia="Tahoma" w:hAnsi="Tahoma" w:cs="Tahoma"/>
          <w:color w:val="000000"/>
          <w:lang w:eastAsia="fi-FI"/>
        </w:rPr>
        <w:t xml:space="preserve">läkemenoperusteinen maksu  </w:t>
      </w:r>
      <w:r w:rsidR="00C515DF">
        <w:rPr>
          <w:rFonts w:ascii="Tahoma" w:eastAsia="Tahoma" w:hAnsi="Tahoma" w:cs="Tahoma"/>
          <w:color w:val="000000"/>
          <w:lang w:eastAsia="fi-FI"/>
        </w:rPr>
        <w:t>on noin 330.000 euroa koko kunnan osuudelta.</w:t>
      </w:r>
    </w:p>
    <w:p w:rsidR="00C515DF" w:rsidRPr="00E157E7" w:rsidRDefault="00C515DF" w:rsidP="00E157E7">
      <w:pPr>
        <w:spacing w:after="3" w:line="247" w:lineRule="auto"/>
        <w:ind w:right="283"/>
        <w:jc w:val="both"/>
        <w:rPr>
          <w:rFonts w:ascii="Tahoma" w:eastAsia="Tahoma" w:hAnsi="Tahoma" w:cs="Tahoma"/>
          <w:b/>
          <w:color w:val="000000"/>
          <w:lang w:eastAsia="fi-FI"/>
        </w:rPr>
      </w:pPr>
      <w:r w:rsidRPr="00E157E7">
        <w:rPr>
          <w:rFonts w:ascii="Tahoma" w:eastAsia="Tahoma" w:hAnsi="Tahoma" w:cs="Tahoma"/>
          <w:b/>
          <w:color w:val="000000"/>
          <w:lang w:eastAsia="fi-FI"/>
        </w:rPr>
        <w:lastRenderedPageBreak/>
        <w:t>Tasausma</w:t>
      </w:r>
      <w:r w:rsidR="00E157E7" w:rsidRPr="00E157E7">
        <w:rPr>
          <w:rFonts w:ascii="Tahoma" w:eastAsia="Tahoma" w:hAnsi="Tahoma" w:cs="Tahoma"/>
          <w:b/>
          <w:color w:val="000000"/>
          <w:lang w:eastAsia="fi-FI"/>
        </w:rPr>
        <w:t xml:space="preserve">ksu kohdennetaan talousarviossa toimintojen palveluluokille, ei tukipalveluluokille. </w:t>
      </w:r>
    </w:p>
    <w:p w:rsidR="00676A11" w:rsidRPr="00E157E7" w:rsidRDefault="00E157E7" w:rsidP="00676A11">
      <w:pPr>
        <w:spacing w:after="216" w:line="256" w:lineRule="auto"/>
        <w:rPr>
          <w:rFonts w:ascii="Tahoma" w:eastAsia="Tahoma" w:hAnsi="Tahoma" w:cs="Tahoma"/>
          <w:lang w:eastAsia="fi-FI"/>
        </w:rPr>
      </w:pPr>
      <w:r w:rsidRPr="00E157E7">
        <w:rPr>
          <w:rFonts w:ascii="Tahoma" w:eastAsia="Tahoma" w:hAnsi="Tahoma" w:cs="Tahoma"/>
          <w:lang w:eastAsia="fi-FI"/>
        </w:rPr>
        <w:t>Tasausmaksu jaetaan toimintakulujen tai henkilöstökulujen suhteessa. Toimintakulujen suhteessa vuoden 2022 talousarvion pohjalta laskettuna tasausmaksu kohdentuisi sivistystoimelle 69 % tekniselle toimelle 20 % ja kunnanhallituksen alaiseen toimintaan 11 %.</w:t>
      </w:r>
      <w:r>
        <w:rPr>
          <w:rFonts w:ascii="Tahoma" w:eastAsia="Tahoma" w:hAnsi="Tahoma" w:cs="Tahoma"/>
          <w:lang w:eastAsia="fi-FI"/>
        </w:rPr>
        <w:t xml:space="preserve"> Todellinen kustannus suhteutetaan vuoden 2023 budjettiin.</w:t>
      </w:r>
      <w:r w:rsidR="00122584">
        <w:rPr>
          <w:rFonts w:ascii="Tahoma" w:eastAsia="Tahoma" w:hAnsi="Tahoma" w:cs="Tahoma"/>
          <w:lang w:eastAsia="fi-FI"/>
        </w:rPr>
        <w:t xml:space="preserve"> Tasausmaksu sisältyy nettokustannuksiin.</w:t>
      </w:r>
    </w:p>
    <w:p w:rsidR="007D70DC" w:rsidRPr="002626A8" w:rsidRDefault="007D70DC" w:rsidP="002626A8">
      <w:pPr>
        <w:shd w:val="clear" w:color="auto" w:fill="FFFFFF"/>
        <w:spacing w:after="100" w:afterAutospacing="1" w:line="240" w:lineRule="auto"/>
        <w:rPr>
          <w:rFonts w:ascii="Tahoma" w:eastAsia="Times New Roman" w:hAnsi="Tahoma" w:cs="Tahoma"/>
          <w:sz w:val="24"/>
          <w:szCs w:val="24"/>
          <w:lang w:eastAsia="fi-FI"/>
        </w:rPr>
      </w:pPr>
      <w:r w:rsidRPr="002626A8">
        <w:rPr>
          <w:rFonts w:ascii="Tahoma" w:eastAsia="Times New Roman" w:hAnsi="Tahoma" w:cs="Tahoma"/>
          <w:b/>
          <w:bCs/>
          <w:sz w:val="24"/>
          <w:szCs w:val="24"/>
          <w:lang w:eastAsia="fi-FI"/>
        </w:rPr>
        <w:t>Sisäiset veloitukset</w:t>
      </w:r>
    </w:p>
    <w:p w:rsidR="007D70DC" w:rsidRPr="002626A8" w:rsidRDefault="007D70DC" w:rsidP="007D70DC">
      <w:pPr>
        <w:shd w:val="clear" w:color="auto" w:fill="FFFFFF"/>
        <w:spacing w:after="100" w:afterAutospacing="1" w:line="240" w:lineRule="auto"/>
        <w:jc w:val="both"/>
        <w:rPr>
          <w:rFonts w:ascii="Tahoma" w:eastAsia="Times New Roman" w:hAnsi="Tahoma" w:cs="Tahoma"/>
          <w:lang w:eastAsia="fi-FI"/>
        </w:rPr>
      </w:pPr>
      <w:r w:rsidRPr="002626A8">
        <w:rPr>
          <w:rFonts w:ascii="Tahoma" w:eastAsia="Times New Roman" w:hAnsi="Tahoma" w:cs="Tahoma"/>
          <w:lang w:eastAsia="fi-FI"/>
        </w:rPr>
        <w:t>Hallintokuntien väliset sisäiset veloitukset tehdään nettohinnoin. Sisäiset veloitukset tarkistetaan ennen talousarvion laatimista. Mikäli kustannustasossa tapahtuu olennaisia muutoksia talousarviovuoden aikana, tullaan sisäisiä veloituksia oikaisemaan loppuvuodesta tarpeen mukaan. Hallintokunnan tulee ilmoittaa sisäiset veloitukset myös toiselle hallintokunnalle. Ne on budjetoitava (sisäisenä tuloina ja menoina) täsmälleen ilmoitetun mukaisesti. Tekninen lautakunta tekee budjettiehdotuksensa lokakuun 29 päivään mennessä ja jakaa tiedon sisäisistä kuluista muille hallintokunnille.</w:t>
      </w:r>
      <w:r w:rsidR="002405C6" w:rsidRPr="002626A8">
        <w:rPr>
          <w:rFonts w:ascii="Tahoma" w:eastAsia="Times New Roman" w:hAnsi="Tahoma" w:cs="Tahoma"/>
          <w:lang w:eastAsia="fi-FI"/>
        </w:rPr>
        <w:t xml:space="preserve"> Taloustoimisto laittaa sisäiset menot järjestelmään.</w:t>
      </w:r>
    </w:p>
    <w:p w:rsidR="007D70DC" w:rsidRPr="002626A8" w:rsidRDefault="007D70DC" w:rsidP="007D70DC">
      <w:pPr>
        <w:shd w:val="clear" w:color="auto" w:fill="FFFFFF"/>
        <w:spacing w:after="100" w:afterAutospacing="1" w:line="240" w:lineRule="auto"/>
        <w:rPr>
          <w:rFonts w:ascii="Arial" w:eastAsia="Times New Roman" w:hAnsi="Arial" w:cs="Arial"/>
          <w:sz w:val="24"/>
          <w:szCs w:val="24"/>
          <w:lang w:eastAsia="fi-FI"/>
        </w:rPr>
      </w:pPr>
      <w:r w:rsidRPr="002626A8">
        <w:rPr>
          <w:rFonts w:ascii="Arial" w:eastAsia="Times New Roman" w:hAnsi="Arial" w:cs="Arial"/>
          <w:b/>
          <w:bCs/>
          <w:sz w:val="24"/>
          <w:szCs w:val="24"/>
          <w:lang w:eastAsia="fi-FI"/>
        </w:rPr>
        <w:t>Tavoitteet ja seurantamittarit</w:t>
      </w:r>
    </w:p>
    <w:p w:rsidR="007D70DC" w:rsidRPr="0040699F"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Kuntalaki edellyttää kunnan toiminnalta tavoitteellisuutta ja suunnitelmallisuutta.</w:t>
      </w:r>
    </w:p>
    <w:p w:rsidR="007D70DC" w:rsidRPr="0040699F"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Valtuuston ja kunnan muiden toimielinten on talousarviossa ja -suunnitelmassa sekä niihin perustuvissa käyttösuunnitelmissa ja erillisbudjeteissa hyväksyttävä toimintaa ja taloutta koskevat tavoitteet. Toiminnallinen tavoite liittyy nimensä mukaisesti toimintaprosessin ohjaamiseen ja taloudellisilla tavoitteilla ohjataan kunnan tulo- ja pääomarahoitusta sekä resurssien jakoa. Kuntastrategia ohjaa tavoitteiden asettamista.</w:t>
      </w:r>
    </w:p>
    <w:p w:rsidR="004563FE" w:rsidRDefault="007D70DC" w:rsidP="007D70DC">
      <w:pPr>
        <w:shd w:val="clear" w:color="auto" w:fill="FFFFFF"/>
        <w:spacing w:after="100" w:afterAutospacing="1" w:line="240" w:lineRule="auto"/>
        <w:jc w:val="both"/>
        <w:rPr>
          <w:rFonts w:ascii="Tahoma" w:eastAsia="Times New Roman" w:hAnsi="Tahoma" w:cs="Tahoma"/>
          <w:lang w:eastAsia="fi-FI"/>
        </w:rPr>
      </w:pPr>
      <w:r w:rsidRPr="0040699F">
        <w:rPr>
          <w:rFonts w:ascii="Tahoma" w:eastAsia="Times New Roman" w:hAnsi="Tahoma" w:cs="Tahoma"/>
          <w:lang w:eastAsia="fi-FI"/>
        </w:rPr>
        <w:t>Tavoitteet on pyrittävä asettamaan siten, että ne kattavat tehtäväalueen perustehtävät ja ovat toteutettavissa niihin osoitetuilla voimavaroilla. Tavoitteiden seuraamiseen asetetaan mittareita.</w:t>
      </w:r>
    </w:p>
    <w:p w:rsidR="004563FE" w:rsidRPr="0040699F" w:rsidRDefault="004563FE" w:rsidP="007D70DC">
      <w:pPr>
        <w:shd w:val="clear" w:color="auto" w:fill="FFFFFF"/>
        <w:spacing w:after="100" w:afterAutospacing="1" w:line="240" w:lineRule="auto"/>
        <w:jc w:val="both"/>
        <w:rPr>
          <w:rFonts w:ascii="Tahoma" w:eastAsia="Times New Roman" w:hAnsi="Tahoma" w:cs="Tahoma"/>
          <w:lang w:eastAsia="fi-FI"/>
        </w:rPr>
      </w:pPr>
      <w:r>
        <w:rPr>
          <w:rFonts w:ascii="Tahoma" w:eastAsia="Times New Roman" w:hAnsi="Tahoma" w:cs="Tahoma"/>
          <w:lang w:eastAsia="fi-FI"/>
        </w:rPr>
        <w:t>Tavoitteet asetetaan uuden valmisteilla olevan strategian sisältö huomioiden.</w:t>
      </w:r>
      <w:bookmarkStart w:id="0" w:name="_GoBack"/>
      <w:bookmarkEnd w:id="0"/>
    </w:p>
    <w:p w:rsidR="007D70DC" w:rsidRPr="002626A8" w:rsidRDefault="007D70DC" w:rsidP="007D70DC">
      <w:pPr>
        <w:shd w:val="clear" w:color="auto" w:fill="FFFFFF"/>
        <w:spacing w:after="100" w:afterAutospacing="1" w:line="240" w:lineRule="auto"/>
        <w:rPr>
          <w:rFonts w:ascii="Arial" w:eastAsia="Times New Roman" w:hAnsi="Arial" w:cs="Arial"/>
          <w:sz w:val="24"/>
          <w:szCs w:val="24"/>
          <w:lang w:eastAsia="fi-FI"/>
        </w:rPr>
      </w:pPr>
      <w:r w:rsidRPr="002626A8">
        <w:rPr>
          <w:rFonts w:ascii="Arial" w:eastAsia="Times New Roman" w:hAnsi="Arial" w:cs="Arial"/>
          <w:b/>
          <w:bCs/>
          <w:sz w:val="24"/>
          <w:szCs w:val="24"/>
          <w:lang w:eastAsia="fi-FI"/>
        </w:rPr>
        <w:t>Investoinnit</w:t>
      </w:r>
    </w:p>
    <w:p w:rsidR="00501E32" w:rsidRPr="0040699F" w:rsidRDefault="007D70DC" w:rsidP="002405C6">
      <w:pPr>
        <w:shd w:val="clear" w:color="auto" w:fill="FFFFFF"/>
        <w:spacing w:after="100" w:afterAutospacing="1" w:line="240" w:lineRule="auto"/>
        <w:rPr>
          <w:rFonts w:ascii="Arial" w:eastAsia="Times New Roman" w:hAnsi="Arial" w:cs="Arial"/>
          <w:b/>
          <w:bCs/>
          <w:lang w:eastAsia="fi-FI"/>
        </w:rPr>
      </w:pPr>
      <w:r w:rsidRPr="0040699F">
        <w:rPr>
          <w:rFonts w:ascii="Arial" w:eastAsia="Times New Roman" w:hAnsi="Arial" w:cs="Arial"/>
          <w:lang w:eastAsia="fi-FI"/>
        </w:rPr>
        <w:t>Lautakunnat tekevät ehdotuksen hallinnonalansa investoinneista. Investoinniksi merkitään yli 10.000 euron hankinnat</w:t>
      </w:r>
      <w:r w:rsidRPr="0040699F">
        <w:rPr>
          <w:rFonts w:ascii="Arial" w:eastAsia="Times New Roman" w:hAnsi="Arial" w:cs="Arial"/>
          <w:b/>
          <w:bCs/>
          <w:lang w:eastAsia="fi-FI"/>
        </w:rPr>
        <w:t>.</w:t>
      </w:r>
      <w:r w:rsidR="002405C6" w:rsidRPr="0040699F">
        <w:rPr>
          <w:rFonts w:ascii="Arial" w:eastAsia="Times New Roman" w:hAnsi="Arial" w:cs="Arial"/>
          <w:b/>
          <w:bCs/>
          <w:lang w:eastAsia="fi-FI"/>
        </w:rPr>
        <w:t xml:space="preserve"> </w:t>
      </w:r>
    </w:p>
    <w:p w:rsidR="00FD5A26" w:rsidRPr="0040699F" w:rsidRDefault="00FD5A26" w:rsidP="002405C6">
      <w:pPr>
        <w:shd w:val="clear" w:color="auto" w:fill="FFFFFF"/>
        <w:spacing w:after="100" w:afterAutospacing="1" w:line="240" w:lineRule="auto"/>
        <w:rPr>
          <w:rFonts w:ascii="Arial" w:eastAsia="Times New Roman" w:hAnsi="Arial" w:cs="Arial"/>
          <w:b/>
          <w:bCs/>
          <w:lang w:eastAsia="fi-FI"/>
        </w:rPr>
      </w:pPr>
      <w:r w:rsidRPr="0040699F">
        <w:rPr>
          <w:rFonts w:ascii="Arial" w:eastAsia="Times New Roman" w:hAnsi="Arial" w:cs="Arial"/>
          <w:b/>
          <w:bCs/>
          <w:lang w:eastAsia="fi-FI"/>
        </w:rPr>
        <w:t xml:space="preserve">Investoinneista ilmoitetaan </w:t>
      </w:r>
      <w:r w:rsidRPr="0040699F">
        <w:rPr>
          <w:rFonts w:ascii="Arial" w:eastAsia="Times New Roman" w:hAnsi="Arial" w:cs="Arial"/>
          <w:bCs/>
          <w:lang w:eastAsia="fi-FI"/>
        </w:rPr>
        <w:t>hankintahinta, kustannuspaikka, valmistumisaika, tulorahoitus ja nettohinta</w:t>
      </w:r>
      <w:r w:rsidR="004869A2" w:rsidRPr="0040699F">
        <w:rPr>
          <w:rFonts w:ascii="Arial" w:eastAsia="Times New Roman" w:hAnsi="Arial" w:cs="Arial"/>
          <w:bCs/>
          <w:lang w:eastAsia="fi-FI"/>
        </w:rPr>
        <w:t>. Huomioidaan myös suunnitteluvuosille tulevat investoinnit realistisesti.</w:t>
      </w:r>
    </w:p>
    <w:p w:rsidR="007D70DC" w:rsidRPr="0040699F" w:rsidRDefault="002405C6" w:rsidP="002405C6">
      <w:pPr>
        <w:shd w:val="clear" w:color="auto" w:fill="FFFFFF"/>
        <w:spacing w:after="100" w:afterAutospacing="1" w:line="240" w:lineRule="auto"/>
        <w:rPr>
          <w:rFonts w:ascii="Tahoma" w:eastAsia="Times New Roman" w:hAnsi="Tahoma" w:cs="Tahoma"/>
          <w:lang w:eastAsia="fi-FI"/>
        </w:rPr>
      </w:pPr>
      <w:r w:rsidRPr="0040699F">
        <w:rPr>
          <w:rFonts w:ascii="Tahoma" w:eastAsia="Times New Roman" w:hAnsi="Tahoma" w:cs="Tahoma"/>
          <w:b/>
          <w:bCs/>
          <w:lang w:eastAsia="fi-FI"/>
        </w:rPr>
        <w:t xml:space="preserve">Investoinnit </w:t>
      </w:r>
      <w:r w:rsidR="0040699F">
        <w:rPr>
          <w:rFonts w:ascii="Tahoma" w:eastAsia="Times New Roman" w:hAnsi="Tahoma" w:cs="Tahoma"/>
          <w:b/>
          <w:bCs/>
          <w:lang w:eastAsia="fi-FI"/>
        </w:rPr>
        <w:t xml:space="preserve">tulee olla </w:t>
      </w:r>
      <w:r w:rsidRPr="0040699F">
        <w:rPr>
          <w:rFonts w:ascii="Tahoma" w:eastAsia="Times New Roman" w:hAnsi="Tahoma" w:cs="Tahoma"/>
          <w:b/>
          <w:bCs/>
          <w:lang w:eastAsia="fi-FI"/>
        </w:rPr>
        <w:t>valmiina 15.10.2022 mennessä.</w:t>
      </w:r>
      <w:r w:rsidR="002626A8" w:rsidRPr="0040699F">
        <w:rPr>
          <w:rFonts w:ascii="Tahoma" w:eastAsia="Times New Roman" w:hAnsi="Tahoma" w:cs="Tahoma"/>
          <w:b/>
          <w:bCs/>
          <w:lang w:eastAsia="fi-FI"/>
        </w:rPr>
        <w:t xml:space="preserve"> </w:t>
      </w:r>
    </w:p>
    <w:p w:rsidR="007D70DC" w:rsidRPr="0040699F" w:rsidRDefault="007D70DC" w:rsidP="007D70DC">
      <w:pPr>
        <w:shd w:val="clear" w:color="auto" w:fill="FFFFFF"/>
        <w:spacing w:after="100" w:afterAutospacing="1" w:line="240" w:lineRule="auto"/>
        <w:rPr>
          <w:rFonts w:ascii="Tahoma" w:eastAsia="Times New Roman" w:hAnsi="Tahoma" w:cs="Tahoma"/>
          <w:lang w:eastAsia="fi-FI"/>
        </w:rPr>
      </w:pPr>
      <w:r w:rsidRPr="0040699F">
        <w:rPr>
          <w:rFonts w:ascii="Tahoma" w:eastAsia="Times New Roman" w:hAnsi="Tahoma" w:cs="Tahoma"/>
          <w:b/>
          <w:bCs/>
          <w:lang w:eastAsia="fi-FI"/>
        </w:rPr>
        <w:t>Konserniohjaus Kihniön Vesi- ja Lämpö Oy:lle</w:t>
      </w:r>
    </w:p>
    <w:p w:rsidR="007D70DC" w:rsidRPr="0040699F" w:rsidRDefault="0040699F" w:rsidP="007D70DC">
      <w:pPr>
        <w:shd w:val="clear" w:color="auto" w:fill="FFFFFF"/>
        <w:spacing w:after="100" w:afterAutospacing="1" w:line="240" w:lineRule="auto"/>
        <w:rPr>
          <w:rFonts w:ascii="Tahoma" w:eastAsia="Times New Roman" w:hAnsi="Tahoma" w:cs="Tahoma"/>
          <w:lang w:eastAsia="fi-FI"/>
        </w:rPr>
      </w:pPr>
      <w:r>
        <w:rPr>
          <w:rFonts w:ascii="Tahoma" w:eastAsia="Times New Roman" w:hAnsi="Tahoma" w:cs="Tahoma"/>
          <w:lang w:eastAsia="fi-FI"/>
        </w:rPr>
        <w:t>Kunnanhallitus ohjeistaa Kihniön Vesi ja Lämpö yhtiötä</w:t>
      </w:r>
      <w:r w:rsidR="007D70DC" w:rsidRPr="0040699F">
        <w:rPr>
          <w:rFonts w:ascii="Tahoma" w:eastAsia="Times New Roman" w:hAnsi="Tahoma" w:cs="Tahoma"/>
          <w:lang w:eastAsia="fi-FI"/>
        </w:rPr>
        <w:t>.</w:t>
      </w:r>
    </w:p>
    <w:p w:rsidR="004869A2" w:rsidRPr="0040699F" w:rsidRDefault="004869A2" w:rsidP="007D70DC">
      <w:pPr>
        <w:shd w:val="clear" w:color="auto" w:fill="FFFFFF"/>
        <w:spacing w:after="100" w:afterAutospacing="1" w:line="240" w:lineRule="auto"/>
        <w:rPr>
          <w:rFonts w:ascii="Tahoma" w:eastAsia="Times New Roman" w:hAnsi="Tahoma" w:cs="Tahoma"/>
          <w:lang w:eastAsia="fi-FI"/>
        </w:rPr>
      </w:pPr>
      <w:r w:rsidRPr="0040699F">
        <w:rPr>
          <w:rFonts w:ascii="Tahoma" w:eastAsia="Times New Roman" w:hAnsi="Tahoma" w:cs="Tahoma"/>
          <w:lang w:eastAsia="fi-FI"/>
        </w:rPr>
        <w:t>Ennen lautakunnan talousarviokäsittelyä käydään keskustelu johtoryhmän kanssa ehdotuksesta.</w:t>
      </w:r>
    </w:p>
    <w:p w:rsidR="007D70DC" w:rsidRPr="0040699F" w:rsidRDefault="004869A2" w:rsidP="008B7122">
      <w:pPr>
        <w:shd w:val="clear" w:color="auto" w:fill="FFFFFF"/>
        <w:spacing w:after="100" w:afterAutospacing="1" w:line="240" w:lineRule="auto"/>
        <w:rPr>
          <w:rFonts w:ascii="Tahoma" w:hAnsi="Tahoma" w:cs="Tahoma"/>
          <w:color w:val="FF0000"/>
        </w:rPr>
      </w:pPr>
      <w:r w:rsidRPr="0040699F">
        <w:rPr>
          <w:rFonts w:ascii="Tahoma" w:eastAsia="Times New Roman" w:hAnsi="Tahoma" w:cs="Tahoma"/>
          <w:lang w:eastAsia="fi-FI"/>
        </w:rPr>
        <w:t>Kunnanhallitus käsittelee talousarvioehdotuksen 30.11. ja valtuusto 12.12.</w:t>
      </w:r>
      <w:r w:rsidR="008B7122" w:rsidRPr="0040699F">
        <w:rPr>
          <w:rFonts w:ascii="Tahoma" w:eastAsia="Times New Roman" w:hAnsi="Tahoma" w:cs="Tahoma"/>
          <w:lang w:eastAsia="fi-FI"/>
        </w:rPr>
        <w:t>2022</w:t>
      </w:r>
    </w:p>
    <w:p w:rsidR="0040699F" w:rsidRPr="0040699F" w:rsidRDefault="0040699F">
      <w:pPr>
        <w:shd w:val="clear" w:color="auto" w:fill="FFFFFF"/>
        <w:spacing w:after="100" w:afterAutospacing="1" w:line="240" w:lineRule="auto"/>
        <w:rPr>
          <w:rFonts w:ascii="Tahoma" w:hAnsi="Tahoma" w:cs="Tahoma"/>
          <w:color w:val="FF0000"/>
        </w:rPr>
      </w:pPr>
    </w:p>
    <w:sectPr w:rsidR="0040699F" w:rsidRPr="004069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014C"/>
    <w:multiLevelType w:val="hybridMultilevel"/>
    <w:tmpl w:val="F97A4F06"/>
    <w:lvl w:ilvl="0" w:tplc="300C98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DAAD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F9A393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994D7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0A20A5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336E98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89CC9D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F24E6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86EB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DC"/>
    <w:rsid w:val="000055F5"/>
    <w:rsid w:val="00112773"/>
    <w:rsid w:val="00122584"/>
    <w:rsid w:val="00151640"/>
    <w:rsid w:val="001A5EFA"/>
    <w:rsid w:val="002405C6"/>
    <w:rsid w:val="00256A84"/>
    <w:rsid w:val="002626A8"/>
    <w:rsid w:val="0040699F"/>
    <w:rsid w:val="004563FE"/>
    <w:rsid w:val="004869A2"/>
    <w:rsid w:val="00501E32"/>
    <w:rsid w:val="00520353"/>
    <w:rsid w:val="00543E03"/>
    <w:rsid w:val="005A0529"/>
    <w:rsid w:val="005B6DEA"/>
    <w:rsid w:val="005E5158"/>
    <w:rsid w:val="00625115"/>
    <w:rsid w:val="006523C3"/>
    <w:rsid w:val="00676A11"/>
    <w:rsid w:val="007D70DC"/>
    <w:rsid w:val="008B7122"/>
    <w:rsid w:val="009425D2"/>
    <w:rsid w:val="009874DC"/>
    <w:rsid w:val="00A71649"/>
    <w:rsid w:val="00B32D01"/>
    <w:rsid w:val="00B71E7A"/>
    <w:rsid w:val="00BC1F3A"/>
    <w:rsid w:val="00C23ECF"/>
    <w:rsid w:val="00C515DF"/>
    <w:rsid w:val="00D05896"/>
    <w:rsid w:val="00E157E7"/>
    <w:rsid w:val="00F528B5"/>
    <w:rsid w:val="00FD5A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25E6"/>
  <w15:chartTrackingRefBased/>
  <w15:docId w15:val="{EF703514-5D6D-4A80-A90E-103470D5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rsid w:val="00A71649"/>
    <w:pPr>
      <w:spacing w:after="0" w:line="240" w:lineRule="auto"/>
    </w:pPr>
    <w:rPr>
      <w:rFonts w:ascii="Calibri" w:eastAsia="Times New Roman" w:hAnsi="Calibri" w:cs="Times New Roman"/>
      <w:lang w:eastAsia="fi-FI"/>
    </w:rPr>
    <w:tblPr>
      <w:tblCellMar>
        <w:top w:w="0" w:type="dxa"/>
        <w:left w:w="0" w:type="dxa"/>
        <w:bottom w:w="0" w:type="dxa"/>
        <w:right w:w="0" w:type="dxa"/>
      </w:tblCellMar>
    </w:tblPr>
  </w:style>
  <w:style w:type="paragraph" w:styleId="Eivli">
    <w:name w:val="No Spacing"/>
    <w:uiPriority w:val="1"/>
    <w:qFormat/>
    <w:rsid w:val="00B32D01"/>
    <w:pPr>
      <w:spacing w:after="0" w:line="240" w:lineRule="auto"/>
    </w:pPr>
  </w:style>
  <w:style w:type="paragraph" w:styleId="Seliteteksti">
    <w:name w:val="Balloon Text"/>
    <w:basedOn w:val="Normaali"/>
    <w:link w:val="SelitetekstiChar"/>
    <w:uiPriority w:val="99"/>
    <w:semiHidden/>
    <w:unhideWhenUsed/>
    <w:rsid w:val="001A5EF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A5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2592">
      <w:bodyDiv w:val="1"/>
      <w:marLeft w:val="0"/>
      <w:marRight w:val="0"/>
      <w:marTop w:val="0"/>
      <w:marBottom w:val="0"/>
      <w:divBdr>
        <w:top w:val="none" w:sz="0" w:space="0" w:color="auto"/>
        <w:left w:val="none" w:sz="0" w:space="0" w:color="auto"/>
        <w:bottom w:val="none" w:sz="0" w:space="0" w:color="auto"/>
        <w:right w:val="none" w:sz="0" w:space="0" w:color="auto"/>
      </w:divBdr>
    </w:div>
    <w:div w:id="478766122">
      <w:bodyDiv w:val="1"/>
      <w:marLeft w:val="0"/>
      <w:marRight w:val="0"/>
      <w:marTop w:val="0"/>
      <w:marBottom w:val="0"/>
      <w:divBdr>
        <w:top w:val="none" w:sz="0" w:space="0" w:color="auto"/>
        <w:left w:val="none" w:sz="0" w:space="0" w:color="auto"/>
        <w:bottom w:val="none" w:sz="0" w:space="0" w:color="auto"/>
        <w:right w:val="none" w:sz="0" w:space="0" w:color="auto"/>
      </w:divBdr>
    </w:div>
    <w:div w:id="520511701">
      <w:bodyDiv w:val="1"/>
      <w:marLeft w:val="0"/>
      <w:marRight w:val="0"/>
      <w:marTop w:val="0"/>
      <w:marBottom w:val="0"/>
      <w:divBdr>
        <w:top w:val="none" w:sz="0" w:space="0" w:color="auto"/>
        <w:left w:val="none" w:sz="0" w:space="0" w:color="auto"/>
        <w:bottom w:val="none" w:sz="0" w:space="0" w:color="auto"/>
        <w:right w:val="none" w:sz="0" w:space="0" w:color="auto"/>
      </w:divBdr>
    </w:div>
    <w:div w:id="696198489">
      <w:bodyDiv w:val="1"/>
      <w:marLeft w:val="0"/>
      <w:marRight w:val="0"/>
      <w:marTop w:val="0"/>
      <w:marBottom w:val="0"/>
      <w:divBdr>
        <w:top w:val="none" w:sz="0" w:space="0" w:color="auto"/>
        <w:left w:val="none" w:sz="0" w:space="0" w:color="auto"/>
        <w:bottom w:val="none" w:sz="0" w:space="0" w:color="auto"/>
        <w:right w:val="none" w:sz="0" w:space="0" w:color="auto"/>
      </w:divBdr>
    </w:div>
    <w:div w:id="1427458042">
      <w:bodyDiv w:val="1"/>
      <w:marLeft w:val="0"/>
      <w:marRight w:val="0"/>
      <w:marTop w:val="0"/>
      <w:marBottom w:val="0"/>
      <w:divBdr>
        <w:top w:val="none" w:sz="0" w:space="0" w:color="auto"/>
        <w:left w:val="none" w:sz="0" w:space="0" w:color="auto"/>
        <w:bottom w:val="none" w:sz="0" w:space="0" w:color="auto"/>
        <w:right w:val="none" w:sz="0" w:space="0" w:color="auto"/>
      </w:divBdr>
    </w:div>
    <w:div w:id="1688829160">
      <w:bodyDiv w:val="1"/>
      <w:marLeft w:val="0"/>
      <w:marRight w:val="0"/>
      <w:marTop w:val="0"/>
      <w:marBottom w:val="0"/>
      <w:divBdr>
        <w:top w:val="none" w:sz="0" w:space="0" w:color="auto"/>
        <w:left w:val="none" w:sz="0" w:space="0" w:color="auto"/>
        <w:bottom w:val="none" w:sz="0" w:space="0" w:color="auto"/>
        <w:right w:val="none" w:sz="0" w:space="0" w:color="auto"/>
      </w:divBdr>
    </w:div>
    <w:div w:id="1964379159">
      <w:bodyDiv w:val="1"/>
      <w:marLeft w:val="0"/>
      <w:marRight w:val="0"/>
      <w:marTop w:val="0"/>
      <w:marBottom w:val="0"/>
      <w:divBdr>
        <w:top w:val="none" w:sz="0" w:space="0" w:color="auto"/>
        <w:left w:val="none" w:sz="0" w:space="0" w:color="auto"/>
        <w:bottom w:val="none" w:sz="0" w:space="0" w:color="auto"/>
        <w:right w:val="none" w:sz="0" w:space="0" w:color="auto"/>
      </w:divBdr>
    </w:div>
    <w:div w:id="2083405196">
      <w:bodyDiv w:val="1"/>
      <w:marLeft w:val="0"/>
      <w:marRight w:val="0"/>
      <w:marTop w:val="0"/>
      <w:marBottom w:val="0"/>
      <w:divBdr>
        <w:top w:val="none" w:sz="0" w:space="0" w:color="auto"/>
        <w:left w:val="none" w:sz="0" w:space="0" w:color="auto"/>
        <w:bottom w:val="none" w:sz="0" w:space="0" w:color="auto"/>
        <w:right w:val="none" w:sz="0" w:space="0" w:color="auto"/>
      </w:divBdr>
    </w:div>
    <w:div w:id="212804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1052</Words>
  <Characters>8526</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dc:description/>
  <cp:lastModifiedBy>Mäkelä Kristiina</cp:lastModifiedBy>
  <cp:revision>6</cp:revision>
  <cp:lastPrinted>2022-09-27T08:11:00Z</cp:lastPrinted>
  <dcterms:created xsi:type="dcterms:W3CDTF">2022-09-28T12:29:00Z</dcterms:created>
  <dcterms:modified xsi:type="dcterms:W3CDTF">2022-09-29T05:25:00Z</dcterms:modified>
</cp:coreProperties>
</file>