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8A" w:rsidRDefault="00C0508A" w:rsidP="00C0508A">
      <w:pPr>
        <w:autoSpaceDE w:val="0"/>
        <w:autoSpaceDN w:val="0"/>
        <w:adjustRightInd w:val="0"/>
        <w:rPr>
          <w:rFonts w:cs="Arial"/>
          <w:b/>
          <w:sz w:val="22"/>
          <w:szCs w:val="22"/>
        </w:rPr>
      </w:pPr>
    </w:p>
    <w:p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rsidR="00C0508A" w:rsidRPr="000724C0" w:rsidRDefault="00C0508A" w:rsidP="00C0508A">
      <w:pPr>
        <w:autoSpaceDE w:val="0"/>
        <w:autoSpaceDN w:val="0"/>
        <w:adjustRightInd w:val="0"/>
        <w:rPr>
          <w:rFonts w:cs="Arial"/>
          <w:b/>
          <w:sz w:val="20"/>
          <w:szCs w:val="20"/>
        </w:rPr>
      </w:pPr>
    </w:p>
    <w:p w:rsidR="00C0508A" w:rsidRPr="000724C0" w:rsidRDefault="00C0508A" w:rsidP="00C0508A">
      <w:pPr>
        <w:rPr>
          <w:rFonts w:cs="Arial"/>
          <w:b/>
          <w:sz w:val="20"/>
          <w:szCs w:val="20"/>
        </w:rPr>
      </w:pPr>
      <w:r w:rsidRPr="000724C0">
        <w:rPr>
          <w:rFonts w:cs="Arial"/>
          <w:b/>
          <w:sz w:val="20"/>
          <w:szCs w:val="20"/>
        </w:rPr>
        <w:t>Kieltojen perusteet</w:t>
      </w:r>
    </w:p>
    <w:p w:rsidR="00C0508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p>
    <w:p w:rsidR="00AC2629" w:rsidRDefault="00C206FB" w:rsidP="00AC2629">
      <w:pPr>
        <w:autoSpaceDE w:val="0"/>
        <w:autoSpaceDN w:val="0"/>
        <w:adjustRightInd w:val="0"/>
        <w:rPr>
          <w:rFonts w:cs="Arial"/>
          <w:b/>
          <w:sz w:val="20"/>
          <w:szCs w:val="20"/>
        </w:rPr>
      </w:pPr>
      <w:r w:rsidRPr="000724C0">
        <w:rPr>
          <w:rFonts w:cs="Arial"/>
          <w:b/>
          <w:sz w:val="20"/>
          <w:szCs w:val="20"/>
        </w:rPr>
        <w:t xml:space="preserve">Pykälät: </w:t>
      </w:r>
      <w:r w:rsidR="001F45A7">
        <w:rPr>
          <w:rFonts w:cs="Arial"/>
          <w:b/>
          <w:sz w:val="20"/>
          <w:szCs w:val="20"/>
        </w:rPr>
        <w:t>1-5</w:t>
      </w:r>
    </w:p>
    <w:p w:rsidR="00C0508A" w:rsidRPr="000724C0" w:rsidRDefault="00C0508A" w:rsidP="00C0508A">
      <w:pPr>
        <w:autoSpaceDE w:val="0"/>
        <w:autoSpaceDN w:val="0"/>
        <w:adjustRightInd w:val="0"/>
        <w:rPr>
          <w:rFonts w:cs="Arial"/>
          <w:b/>
          <w:sz w:val="20"/>
          <w:szCs w:val="20"/>
        </w:rPr>
      </w:pPr>
    </w:p>
    <w:p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rsidR="00C0508A" w:rsidRPr="000724C0" w:rsidRDefault="00C0508A" w:rsidP="00C0508A">
      <w:pPr>
        <w:rPr>
          <w:rFonts w:cs="Arial"/>
          <w:b/>
          <w:sz w:val="20"/>
          <w:szCs w:val="20"/>
        </w:rPr>
      </w:pPr>
      <w:r w:rsidRPr="000724C0">
        <w:rPr>
          <w:rFonts w:cs="Arial"/>
          <w:b/>
          <w:sz w:val="20"/>
          <w:szCs w:val="20"/>
        </w:rPr>
        <w:t>Pykälät:</w:t>
      </w:r>
      <w:r w:rsidR="006305FB" w:rsidRPr="000724C0">
        <w:rPr>
          <w:rFonts w:cs="Arial"/>
          <w:b/>
          <w:sz w:val="20"/>
          <w:szCs w:val="20"/>
        </w:rPr>
        <w:t xml:space="preserve"> </w:t>
      </w:r>
    </w:p>
    <w:p w:rsidR="00355E61" w:rsidRPr="000724C0" w:rsidRDefault="00355E61" w:rsidP="00C0508A">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rsidR="00355E61" w:rsidRPr="000724C0" w:rsidRDefault="00355E61" w:rsidP="00355E61">
      <w:pPr>
        <w:rPr>
          <w:rFonts w:cs="Arial"/>
          <w:b/>
          <w:sz w:val="20"/>
          <w:szCs w:val="20"/>
        </w:rPr>
      </w:pPr>
      <w:r w:rsidRPr="000724C0">
        <w:rPr>
          <w:rFonts w:cs="Arial"/>
          <w:b/>
          <w:sz w:val="20"/>
          <w:szCs w:val="20"/>
        </w:rPr>
        <w:t xml:space="preserve">Pykälät: </w:t>
      </w:r>
    </w:p>
    <w:p w:rsidR="00355E61" w:rsidRPr="000724C0" w:rsidRDefault="00355E61" w:rsidP="00355E61">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rsidR="00355E61" w:rsidRPr="000724C0" w:rsidRDefault="00355E61" w:rsidP="00C0508A">
      <w:pPr>
        <w:rPr>
          <w:rFonts w:cs="Arial"/>
          <w:b/>
          <w:sz w:val="20"/>
          <w:szCs w:val="20"/>
        </w:rPr>
      </w:pPr>
      <w:r w:rsidRPr="000724C0">
        <w:rPr>
          <w:rFonts w:cs="Arial"/>
          <w:b/>
          <w:sz w:val="20"/>
          <w:szCs w:val="20"/>
        </w:rPr>
        <w:t>Pykälät:</w:t>
      </w:r>
      <w:r w:rsidR="00AC2629">
        <w:rPr>
          <w:rFonts w:cs="Arial"/>
          <w:b/>
          <w:sz w:val="20"/>
          <w:szCs w:val="20"/>
        </w:rPr>
        <w:t xml:space="preserve"> </w:t>
      </w:r>
    </w:p>
    <w:p w:rsidR="00355E61" w:rsidRPr="000724C0" w:rsidRDefault="00355E61" w:rsidP="00C0508A">
      <w:pPr>
        <w:rPr>
          <w:rFonts w:cs="Arial"/>
          <w:sz w:val="20"/>
          <w:szCs w:val="20"/>
        </w:rPr>
      </w:pPr>
    </w:p>
    <w:p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rsidR="00893D15" w:rsidRDefault="00355E61" w:rsidP="00C0508A">
      <w:pPr>
        <w:rPr>
          <w:rFonts w:cs="Arial"/>
          <w:b/>
          <w:sz w:val="20"/>
          <w:szCs w:val="20"/>
        </w:rPr>
      </w:pPr>
      <w:r w:rsidRPr="000724C0">
        <w:rPr>
          <w:rFonts w:cs="Arial"/>
          <w:b/>
          <w:sz w:val="20"/>
          <w:szCs w:val="20"/>
        </w:rPr>
        <w:t xml:space="preserve">Pykälät: </w:t>
      </w:r>
    </w:p>
    <w:p w:rsidR="0012502E" w:rsidRPr="000724C0" w:rsidRDefault="0012502E"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OIKAISUVAATIMUSOHJEET</w:t>
      </w:r>
    </w:p>
    <w:p w:rsidR="00C0508A" w:rsidRPr="000724C0" w:rsidRDefault="00C0508A" w:rsidP="00C0508A">
      <w:pPr>
        <w:rPr>
          <w:rFonts w:cs="Arial"/>
          <w:b/>
          <w:sz w:val="20"/>
          <w:szCs w:val="20"/>
        </w:rPr>
      </w:pPr>
    </w:p>
    <w:p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rsidR="00C206FB" w:rsidRPr="000724C0" w:rsidRDefault="00C206FB" w:rsidP="00C0508A">
      <w:pPr>
        <w:rPr>
          <w:rFonts w:cs="Arial"/>
          <w:sz w:val="20"/>
          <w:szCs w:val="20"/>
        </w:rPr>
      </w:pPr>
    </w:p>
    <w:p w:rsidR="0012502E" w:rsidRPr="0012502E" w:rsidRDefault="00C206FB" w:rsidP="0012502E">
      <w:pPr>
        <w:rPr>
          <w:rFonts w:cs="Arial"/>
          <w:b/>
          <w:sz w:val="20"/>
          <w:szCs w:val="20"/>
        </w:rPr>
      </w:pPr>
      <w:r w:rsidRPr="000724C0">
        <w:rPr>
          <w:rFonts w:cs="Arial"/>
          <w:b/>
          <w:sz w:val="20"/>
          <w:szCs w:val="20"/>
        </w:rPr>
        <w:t xml:space="preserve">Pykälät:  </w:t>
      </w:r>
    </w:p>
    <w:p w:rsidR="00C206FB" w:rsidRPr="000724C0" w:rsidRDefault="00C206FB" w:rsidP="00C0508A">
      <w:pPr>
        <w:rPr>
          <w:rFonts w:cs="Arial"/>
          <w:sz w:val="20"/>
          <w:szCs w:val="20"/>
        </w:rPr>
      </w:pPr>
    </w:p>
    <w:p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rsidR="00C206FB" w:rsidRPr="000724C0" w:rsidRDefault="00C206FB" w:rsidP="000724C0">
      <w:pPr>
        <w:pStyle w:val="Eivli"/>
        <w:rPr>
          <w:sz w:val="20"/>
          <w:szCs w:val="20"/>
        </w:rPr>
      </w:pPr>
    </w:p>
    <w:p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rsidR="00893D15" w:rsidRPr="000724C0" w:rsidRDefault="00893D15" w:rsidP="000724C0">
      <w:pPr>
        <w:pStyle w:val="Eivli"/>
        <w:rPr>
          <w:sz w:val="20"/>
          <w:szCs w:val="20"/>
        </w:rPr>
      </w:pPr>
    </w:p>
    <w:p w:rsidR="00355E61" w:rsidRPr="000724C0" w:rsidRDefault="00355E61" w:rsidP="00355E61">
      <w:pPr>
        <w:pStyle w:val="Eivli"/>
        <w:rPr>
          <w:b/>
          <w:sz w:val="20"/>
          <w:szCs w:val="20"/>
        </w:rPr>
      </w:pPr>
      <w:r w:rsidRPr="000724C0">
        <w:rPr>
          <w:b/>
          <w:sz w:val="20"/>
          <w:szCs w:val="20"/>
        </w:rPr>
        <w:t>Oikaisuvaatimusaika</w:t>
      </w:r>
    </w:p>
    <w:p w:rsidR="00893D15" w:rsidRPr="000724C0" w:rsidRDefault="00893D15" w:rsidP="00355E61">
      <w:pPr>
        <w:pStyle w:val="Eivli"/>
        <w:rPr>
          <w:b/>
          <w:sz w:val="20"/>
          <w:szCs w:val="20"/>
        </w:rPr>
      </w:pPr>
      <w:bookmarkStart w:id="0" w:name="_GoBack"/>
      <w:bookmarkEnd w:id="0"/>
    </w:p>
    <w:p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rsidR="00C206FB" w:rsidRPr="000724C0" w:rsidRDefault="00C206FB" w:rsidP="00C206FB">
      <w:pPr>
        <w:pStyle w:val="Eivli"/>
        <w:rPr>
          <w:sz w:val="20"/>
          <w:szCs w:val="20"/>
        </w:rPr>
      </w:pPr>
    </w:p>
    <w:p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rsidR="00893D15" w:rsidRPr="000724C0" w:rsidRDefault="00893D15" w:rsidP="00893D15">
      <w:pPr>
        <w:rPr>
          <w:rFonts w:cs="Arial"/>
          <w:b/>
          <w:sz w:val="20"/>
          <w:szCs w:val="20"/>
        </w:rPr>
      </w:pPr>
      <w:r w:rsidRPr="000724C0">
        <w:rPr>
          <w:rFonts w:cs="Arial"/>
          <w:b/>
          <w:sz w:val="20"/>
          <w:szCs w:val="20"/>
        </w:rPr>
        <w:t>Oikaisuvaatimuksen muoto ja sisältö</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rsidR="00893D15" w:rsidRPr="000724C0" w:rsidRDefault="00893D15" w:rsidP="00893D15">
      <w:pPr>
        <w:rPr>
          <w:rFonts w:cs="Arial"/>
          <w:sz w:val="20"/>
          <w:szCs w:val="20"/>
        </w:rPr>
      </w:pPr>
      <w:r w:rsidRPr="000724C0">
        <w:rPr>
          <w:rFonts w:cs="Arial"/>
          <w:sz w:val="20"/>
          <w:szCs w:val="20"/>
        </w:rPr>
        <w:t>Oikaisuvaatimuksessa on ilmoitettava:</w:t>
      </w:r>
    </w:p>
    <w:p w:rsidR="00893D15" w:rsidRPr="000724C0" w:rsidRDefault="00893D15" w:rsidP="00893D15">
      <w:pPr>
        <w:rPr>
          <w:rFonts w:cs="Arial"/>
          <w:sz w:val="20"/>
          <w:szCs w:val="20"/>
        </w:rPr>
      </w:pPr>
      <w:r w:rsidRPr="000724C0">
        <w:rPr>
          <w:rFonts w:cs="Arial"/>
          <w:sz w:val="20"/>
          <w:szCs w:val="20"/>
        </w:rPr>
        <w:t xml:space="preserve"> • päätös, johon haetaan oikaisua</w:t>
      </w:r>
    </w:p>
    <w:p w:rsidR="00893D15" w:rsidRPr="000724C0" w:rsidRDefault="00893D15" w:rsidP="00893D15">
      <w:pPr>
        <w:rPr>
          <w:rFonts w:cs="Arial"/>
          <w:sz w:val="20"/>
          <w:szCs w:val="20"/>
        </w:rPr>
      </w:pPr>
      <w:r w:rsidRPr="000724C0">
        <w:rPr>
          <w:rFonts w:cs="Arial"/>
          <w:sz w:val="20"/>
          <w:szCs w:val="20"/>
        </w:rPr>
        <w:t xml:space="preserve"> • miten päätöstä halutaan oikaistavaksi</w:t>
      </w:r>
    </w:p>
    <w:p w:rsidR="00893D15" w:rsidRPr="000724C0" w:rsidRDefault="00893D15" w:rsidP="00893D15">
      <w:pPr>
        <w:rPr>
          <w:rFonts w:cs="Arial"/>
          <w:sz w:val="20"/>
          <w:szCs w:val="20"/>
        </w:rPr>
      </w:pPr>
      <w:r w:rsidRPr="000724C0">
        <w:rPr>
          <w:rFonts w:cs="Arial"/>
          <w:sz w:val="20"/>
          <w:szCs w:val="20"/>
        </w:rPr>
        <w:t xml:space="preserve"> • millä perusteella oikaisua vaaditaan.</w:t>
      </w:r>
    </w:p>
    <w:p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rsidR="00C206FB" w:rsidRPr="000724C0" w:rsidRDefault="00C206FB" w:rsidP="00C0508A">
      <w:pPr>
        <w:rPr>
          <w:rFonts w:cs="Arial"/>
          <w:sz w:val="20"/>
          <w:szCs w:val="20"/>
        </w:rPr>
      </w:pPr>
    </w:p>
    <w:p w:rsidR="00D76861" w:rsidRDefault="00D76861"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rsidR="00C0508A" w:rsidRPr="000724C0" w:rsidRDefault="00C0508A" w:rsidP="00C0508A">
      <w:pPr>
        <w:rPr>
          <w:rFonts w:cs="Arial"/>
          <w:sz w:val="20"/>
          <w:szCs w:val="20"/>
        </w:rPr>
      </w:pPr>
    </w:p>
    <w:p w:rsidR="00C0508A" w:rsidRPr="000724C0" w:rsidRDefault="001604FE" w:rsidP="00C0508A">
      <w:pPr>
        <w:rPr>
          <w:rFonts w:cs="Arial"/>
          <w:b/>
          <w:sz w:val="20"/>
          <w:szCs w:val="20"/>
        </w:rPr>
      </w:pPr>
      <w:r>
        <w:rPr>
          <w:rFonts w:cs="Arial"/>
          <w:b/>
          <w:sz w:val="20"/>
          <w:szCs w:val="20"/>
        </w:rPr>
        <w:t>Kihniön keskusvaalilautakunta</w:t>
      </w:r>
      <w:r w:rsidR="00C0508A" w:rsidRPr="000724C0">
        <w:rPr>
          <w:rFonts w:cs="Arial"/>
          <w:b/>
          <w:sz w:val="20"/>
          <w:szCs w:val="20"/>
        </w:rPr>
        <w:t xml:space="preserve">, </w:t>
      </w:r>
      <w:proofErr w:type="spellStart"/>
      <w:r w:rsidR="00C0508A" w:rsidRPr="000724C0">
        <w:rPr>
          <w:rFonts w:cs="Arial"/>
          <w:b/>
          <w:sz w:val="20"/>
          <w:szCs w:val="20"/>
        </w:rPr>
        <w:t>Kihniöntie</w:t>
      </w:r>
      <w:proofErr w:type="spellEnd"/>
      <w:r w:rsidR="00C0508A" w:rsidRPr="000724C0">
        <w:rPr>
          <w:rFonts w:cs="Arial"/>
          <w:b/>
          <w:sz w:val="20"/>
          <w:szCs w:val="20"/>
        </w:rPr>
        <w:t xml:space="preserve"> 41, 39820 KIHNIÖ</w:t>
      </w:r>
    </w:p>
    <w:p w:rsidR="00C0508A" w:rsidRPr="000724C0" w:rsidRDefault="00C0508A" w:rsidP="00C0508A">
      <w:pPr>
        <w:rPr>
          <w:rFonts w:cs="Arial"/>
          <w:b/>
          <w:sz w:val="20"/>
          <w:szCs w:val="20"/>
        </w:rPr>
      </w:pPr>
      <w:r w:rsidRPr="000724C0">
        <w:rPr>
          <w:rFonts w:cs="Arial"/>
          <w:b/>
          <w:sz w:val="20"/>
          <w:szCs w:val="20"/>
        </w:rPr>
        <w:t xml:space="preserve">sähköposti </w:t>
      </w:r>
      <w:hyperlink r:id="rId7" w:history="1">
        <w:r w:rsidRPr="000724C0">
          <w:rPr>
            <w:rStyle w:val="Hyperlinkki"/>
            <w:rFonts w:cs="Arial"/>
            <w:b/>
            <w:sz w:val="20"/>
            <w:szCs w:val="20"/>
          </w:rPr>
          <w:t>kihnio@kihnio.fi</w:t>
        </w:r>
      </w:hyperlink>
    </w:p>
    <w:p w:rsidR="00C0508A" w:rsidRPr="000724C0" w:rsidRDefault="00C0508A" w:rsidP="00C0508A">
      <w:pPr>
        <w:rPr>
          <w:rFonts w:cs="Arial"/>
          <w:b/>
          <w:sz w:val="20"/>
          <w:szCs w:val="20"/>
        </w:rPr>
      </w:pPr>
    </w:p>
    <w:p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rPr>
          <w:rFonts w:cs="Arial"/>
          <w:b/>
          <w:sz w:val="20"/>
          <w:szCs w:val="20"/>
        </w:rPr>
      </w:pPr>
      <w:r w:rsidRPr="000724C0">
        <w:rPr>
          <w:rFonts w:cs="Arial"/>
          <w:b/>
          <w:sz w:val="20"/>
          <w:szCs w:val="20"/>
        </w:rPr>
        <w:t>Valitusviranomainen ja valitusaika</w:t>
      </w:r>
    </w:p>
    <w:p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Valitusviranomainen:</w:t>
      </w:r>
    </w:p>
    <w:p w:rsidR="00C0508A" w:rsidRPr="000724C0" w:rsidRDefault="00C0508A" w:rsidP="00C0508A">
      <w:pPr>
        <w:rPr>
          <w:rFonts w:cs="Arial"/>
          <w:b/>
          <w:sz w:val="20"/>
          <w:szCs w:val="20"/>
        </w:rPr>
      </w:pPr>
      <w:r w:rsidRPr="000724C0">
        <w:rPr>
          <w:rFonts w:cs="Arial"/>
          <w:b/>
          <w:sz w:val="20"/>
          <w:szCs w:val="20"/>
        </w:rPr>
        <w:t>Hämeenlinnan hallinto-oikeus</w:t>
      </w:r>
    </w:p>
    <w:p w:rsidR="00C0508A" w:rsidRPr="000724C0" w:rsidRDefault="00C0508A" w:rsidP="00C0508A">
      <w:pPr>
        <w:rPr>
          <w:rFonts w:cs="Arial"/>
          <w:sz w:val="20"/>
          <w:szCs w:val="20"/>
        </w:rPr>
      </w:pPr>
      <w:r w:rsidRPr="000724C0">
        <w:rPr>
          <w:rFonts w:cs="Arial"/>
          <w:sz w:val="20"/>
          <w:szCs w:val="20"/>
        </w:rPr>
        <w:t>Postiosoite: Raatihuoneenkatu 1, 13100 Hämeenlinna</w:t>
      </w:r>
    </w:p>
    <w:p w:rsidR="00C0508A" w:rsidRPr="000724C0" w:rsidRDefault="00C0508A" w:rsidP="00C0508A">
      <w:pPr>
        <w:rPr>
          <w:rFonts w:cs="Arial"/>
          <w:sz w:val="20"/>
          <w:szCs w:val="20"/>
        </w:rPr>
      </w:pPr>
      <w:r w:rsidRPr="000724C0">
        <w:rPr>
          <w:rFonts w:cs="Arial"/>
          <w:sz w:val="20"/>
          <w:szCs w:val="20"/>
        </w:rPr>
        <w:t>Sähköpostiosoite: hameenlinna.hao@oikeus.fi</w:t>
      </w:r>
    </w:p>
    <w:p w:rsidR="00C0508A" w:rsidRPr="000724C0" w:rsidRDefault="00C0508A" w:rsidP="00C0508A">
      <w:pPr>
        <w:rPr>
          <w:rFonts w:cs="Arial"/>
          <w:sz w:val="20"/>
          <w:szCs w:val="20"/>
        </w:rPr>
      </w:pPr>
      <w:r w:rsidRPr="000724C0">
        <w:rPr>
          <w:rFonts w:cs="Arial"/>
          <w:sz w:val="20"/>
          <w:szCs w:val="20"/>
        </w:rPr>
        <w:t>Puhelinnumero: 029 56 42200 (vaihde)</w:t>
      </w:r>
    </w:p>
    <w:p w:rsidR="002573D2" w:rsidRPr="000724C0" w:rsidRDefault="002573D2" w:rsidP="00C0508A">
      <w:pPr>
        <w:rPr>
          <w:rFonts w:cs="Arial"/>
          <w:sz w:val="20"/>
          <w:szCs w:val="20"/>
        </w:rPr>
      </w:pPr>
    </w:p>
    <w:p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rsidR="002573D2" w:rsidRPr="000724C0" w:rsidRDefault="002573D2" w:rsidP="00C0508A">
      <w:pPr>
        <w:rPr>
          <w:rFonts w:cs="Arial"/>
          <w:sz w:val="20"/>
          <w:szCs w:val="20"/>
        </w:rPr>
      </w:pPr>
      <w:r w:rsidRPr="000724C0">
        <w:rPr>
          <w:rFonts w:cs="Arial"/>
          <w:sz w:val="20"/>
          <w:szCs w:val="20"/>
        </w:rPr>
        <w:t>https://asiointi2.oikeus.fi/hallintotuomioistuimet</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rsidR="00C0508A" w:rsidRPr="000724C0" w:rsidRDefault="00C0508A" w:rsidP="00C0508A">
      <w:pPr>
        <w:rPr>
          <w:rFonts w:cs="Arial"/>
          <w:sz w:val="20"/>
          <w:szCs w:val="20"/>
        </w:rPr>
      </w:pPr>
    </w:p>
    <w:p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rsidR="000724C0" w:rsidRDefault="000724C0"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p>
    <w:p w:rsidR="00C0508A" w:rsidRPr="000724C0" w:rsidRDefault="00C0508A" w:rsidP="00C0508A">
      <w:pPr>
        <w:rPr>
          <w:rFonts w:cs="Arial"/>
          <w:b/>
          <w:sz w:val="20"/>
          <w:szCs w:val="20"/>
        </w:rPr>
      </w:pPr>
      <w:r w:rsidRPr="000724C0">
        <w:rPr>
          <w:rFonts w:cs="Arial"/>
          <w:b/>
          <w:sz w:val="20"/>
          <w:szCs w:val="20"/>
        </w:rPr>
        <w:t>Pykälät:</w:t>
      </w:r>
    </w:p>
    <w:p w:rsidR="00C0508A" w:rsidRPr="000724C0" w:rsidRDefault="00C0508A" w:rsidP="00C0508A">
      <w:pPr>
        <w:rPr>
          <w:rFonts w:cs="Arial"/>
          <w:sz w:val="20"/>
          <w:szCs w:val="20"/>
        </w:rPr>
      </w:pPr>
      <w:r w:rsidRPr="000724C0">
        <w:rPr>
          <w:rFonts w:cs="Arial"/>
          <w:sz w:val="20"/>
          <w:szCs w:val="20"/>
        </w:rPr>
        <w:t>Valitusaika</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rsidR="002573D2" w:rsidRPr="000724C0" w:rsidRDefault="002573D2" w:rsidP="00C0508A">
      <w:pPr>
        <w:rPr>
          <w:rFonts w:cs="Arial"/>
          <w:sz w:val="20"/>
          <w:szCs w:val="20"/>
        </w:rPr>
      </w:pPr>
    </w:p>
    <w:p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rsidR="002573D2" w:rsidRPr="000724C0" w:rsidRDefault="002573D2"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Valituskirjassa on ilmoitettava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rsidR="00C0508A" w:rsidRPr="000724C0" w:rsidRDefault="00C0508A"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Oikeudenkäyntimaksu</w:t>
      </w:r>
    </w:p>
    <w:p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rsidR="00C0508A" w:rsidRPr="000724C0" w:rsidRDefault="00C0508A" w:rsidP="00C0508A">
      <w:pPr>
        <w:rPr>
          <w:rFonts w:cs="Arial"/>
          <w:sz w:val="20"/>
          <w:szCs w:val="20"/>
        </w:rPr>
      </w:pPr>
      <w:r w:rsidRPr="000724C0">
        <w:rPr>
          <w:rFonts w:cs="Arial"/>
          <w:sz w:val="20"/>
          <w:szCs w:val="20"/>
        </w:rPr>
        <w:t>tuomioistuinmaksulaissa (1455/2015).</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rsidR="00A05552" w:rsidRPr="000724C0" w:rsidRDefault="00A05552" w:rsidP="00C0508A">
      <w:pPr>
        <w:autoSpaceDE w:val="0"/>
        <w:autoSpaceDN w:val="0"/>
        <w:adjustRightInd w:val="0"/>
        <w:jc w:val="both"/>
        <w:rPr>
          <w:rFonts w:cs="Arial"/>
          <w:sz w:val="20"/>
          <w:szCs w:val="20"/>
        </w:rPr>
      </w:pPr>
    </w:p>
    <w:p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w:t>
      </w:r>
      <w:proofErr w:type="spellStart"/>
      <w:r w:rsidRPr="000724C0">
        <w:rPr>
          <w:rFonts w:cs="Arial"/>
          <w:b/>
          <w:sz w:val="20"/>
          <w:szCs w:val="20"/>
        </w:rPr>
        <w:t>nähtävilläolopvm</w:t>
      </w:r>
      <w:proofErr w:type="spellEnd"/>
      <w:r w:rsidRPr="000724C0">
        <w:rPr>
          <w:rFonts w:cs="Arial"/>
          <w:b/>
          <w:sz w:val="20"/>
          <w:szCs w:val="20"/>
        </w:rPr>
        <w:t xml:space="preserve">: </w:t>
      </w:r>
      <w:r w:rsidRPr="00CD2BC9">
        <w:rPr>
          <w:rFonts w:cs="Arial"/>
          <w:b/>
          <w:sz w:val="20"/>
          <w:szCs w:val="20"/>
        </w:rPr>
        <w:t xml:space="preserve">Pöytäkirja on asetettu nähtäville kunnan verkkosivuille </w:t>
      </w:r>
      <w:r w:rsidR="001F45A7">
        <w:rPr>
          <w:rFonts w:cs="Arial"/>
          <w:b/>
          <w:sz w:val="20"/>
          <w:szCs w:val="20"/>
        </w:rPr>
        <w:t>29.1.2024</w:t>
      </w:r>
    </w:p>
    <w:sectPr w:rsidR="00C0508A" w:rsidRPr="000724C0" w:rsidSect="000724C0">
      <w:headerReference w:type="default" r:id="rId8"/>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B2" w:rsidRDefault="00387A85">
      <w:r>
        <w:separator/>
      </w:r>
    </w:p>
  </w:endnote>
  <w:endnote w:type="continuationSeparator" w:id="0">
    <w:p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B2" w:rsidRDefault="00387A85">
      <w:r>
        <w:separator/>
      </w:r>
    </w:p>
  </w:footnote>
  <w:footnote w:type="continuationSeparator" w:id="0">
    <w:p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73" w:rsidRDefault="00F92EB1" w:rsidP="00AC2629">
    <w:pPr>
      <w:pStyle w:val="Yltunniste"/>
      <w:tabs>
        <w:tab w:val="clear" w:pos="4819"/>
        <w:tab w:val="clear" w:pos="9638"/>
        <w:tab w:val="center" w:pos="5160"/>
        <w:tab w:val="center" w:pos="9600"/>
      </w:tabs>
      <w:rPr>
        <w:sz w:val="16"/>
      </w:rPr>
    </w:pPr>
  </w:p>
  <w:p w:rsidR="00F92EB1" w:rsidRPr="00F92EB1" w:rsidRDefault="00F92EB1" w:rsidP="00F92EB1">
    <w:pPr>
      <w:pStyle w:val="Yltunniste"/>
      <w:tabs>
        <w:tab w:val="center" w:pos="5160"/>
        <w:tab w:val="center" w:pos="9600"/>
      </w:tabs>
      <w:rPr>
        <w:sz w:val="20"/>
        <w:szCs w:val="20"/>
      </w:rPr>
    </w:pPr>
    <w:r w:rsidRPr="00F92EB1">
      <w:rPr>
        <w:sz w:val="20"/>
        <w:szCs w:val="20"/>
      </w:rPr>
      <w:t>Viranomainen</w:t>
    </w:r>
    <w:r w:rsidRPr="00F92EB1">
      <w:rPr>
        <w:sz w:val="20"/>
        <w:szCs w:val="20"/>
      </w:rPr>
      <w:tab/>
    </w:r>
    <w:r w:rsidRPr="00F92EB1">
      <w:rPr>
        <w:sz w:val="20"/>
        <w:szCs w:val="20"/>
      </w:rPr>
      <w:tab/>
    </w:r>
    <w:r w:rsidRPr="00F92EB1">
      <w:rPr>
        <w:sz w:val="20"/>
        <w:szCs w:val="20"/>
      </w:rPr>
      <w:t>Kokouspäivä</w:t>
    </w:r>
    <w:r w:rsidRPr="00F92EB1">
      <w:rPr>
        <w:sz w:val="20"/>
        <w:szCs w:val="20"/>
      </w:rPr>
      <w:tab/>
      <w:t>Sivu</w:t>
    </w:r>
  </w:p>
  <w:p w:rsidR="00F92EB1" w:rsidRPr="00F92EB1" w:rsidRDefault="00F92EB1" w:rsidP="00F92EB1">
    <w:pPr>
      <w:pStyle w:val="Yltunniste"/>
      <w:tabs>
        <w:tab w:val="center" w:pos="5160"/>
        <w:tab w:val="center" w:pos="9600"/>
      </w:tabs>
      <w:rPr>
        <w:sz w:val="20"/>
        <w:szCs w:val="20"/>
      </w:rPr>
    </w:pPr>
    <w:r w:rsidRPr="00F92EB1">
      <w:rPr>
        <w:sz w:val="20"/>
        <w:szCs w:val="20"/>
      </w:rPr>
      <w:t>KIHNIÖN KUNTA</w:t>
    </w:r>
  </w:p>
  <w:p w:rsidR="00F92EB1" w:rsidRPr="00F92EB1" w:rsidRDefault="00F92EB1" w:rsidP="00AC2629">
    <w:pPr>
      <w:pStyle w:val="Yltunniste"/>
      <w:tabs>
        <w:tab w:val="clear" w:pos="4819"/>
        <w:tab w:val="clear" w:pos="9638"/>
        <w:tab w:val="center" w:pos="5160"/>
        <w:tab w:val="center" w:pos="9600"/>
      </w:tabs>
      <w:rPr>
        <w:sz w:val="20"/>
        <w:szCs w:val="20"/>
      </w:rPr>
    </w:pPr>
    <w:r w:rsidRPr="00F92EB1">
      <w:rPr>
        <w:sz w:val="20"/>
        <w:szCs w:val="20"/>
      </w:rPr>
      <w:t>Keskusvaalilautakunta</w:t>
    </w:r>
    <w:r w:rsidRPr="00F92EB1">
      <w:rPr>
        <w:sz w:val="20"/>
        <w:szCs w:val="20"/>
      </w:rPr>
      <w:t xml:space="preserve">              </w:t>
    </w:r>
    <w:r w:rsidRPr="00F92EB1">
      <w:rPr>
        <w:sz w:val="20"/>
        <w:szCs w:val="20"/>
      </w:rPr>
      <w:t xml:space="preserve">                           </w:t>
    </w:r>
    <w:r>
      <w:rPr>
        <w:sz w:val="20"/>
        <w:szCs w:val="20"/>
      </w:rPr>
      <w:t xml:space="preserve">       </w:t>
    </w:r>
    <w:r w:rsidRPr="00F92EB1">
      <w:rPr>
        <w:sz w:val="20"/>
        <w:szCs w:val="20"/>
      </w:rPr>
      <w:t xml:space="preserve">   26.1.2024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8A"/>
    <w:rsid w:val="000724C0"/>
    <w:rsid w:val="0012502E"/>
    <w:rsid w:val="00160132"/>
    <w:rsid w:val="001604FE"/>
    <w:rsid w:val="001E0F43"/>
    <w:rsid w:val="001F45A7"/>
    <w:rsid w:val="002573D2"/>
    <w:rsid w:val="00280E96"/>
    <w:rsid w:val="002B52E6"/>
    <w:rsid w:val="002F168F"/>
    <w:rsid w:val="00355E61"/>
    <w:rsid w:val="00387A85"/>
    <w:rsid w:val="00470EDB"/>
    <w:rsid w:val="004E025A"/>
    <w:rsid w:val="00541F00"/>
    <w:rsid w:val="00567A5A"/>
    <w:rsid w:val="005A5971"/>
    <w:rsid w:val="006305FB"/>
    <w:rsid w:val="00801F16"/>
    <w:rsid w:val="00893D15"/>
    <w:rsid w:val="009B04B2"/>
    <w:rsid w:val="00A05552"/>
    <w:rsid w:val="00A34C66"/>
    <w:rsid w:val="00AC2629"/>
    <w:rsid w:val="00B734C9"/>
    <w:rsid w:val="00BA114A"/>
    <w:rsid w:val="00BF0A7D"/>
    <w:rsid w:val="00C0508A"/>
    <w:rsid w:val="00C206FB"/>
    <w:rsid w:val="00C26EDC"/>
    <w:rsid w:val="00C37A66"/>
    <w:rsid w:val="00C90945"/>
    <w:rsid w:val="00CD2BC9"/>
    <w:rsid w:val="00D3521C"/>
    <w:rsid w:val="00D76861"/>
    <w:rsid w:val="00DD10BB"/>
    <w:rsid w:val="00E052BB"/>
    <w:rsid w:val="00F92EB1"/>
    <w:rsid w:val="00FC7ACD"/>
    <w:rsid w:val="00FE16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4638"/>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0508A"/>
    <w:pPr>
      <w:tabs>
        <w:tab w:val="center" w:pos="4819"/>
        <w:tab w:val="right" w:pos="9638"/>
      </w:tabs>
    </w:pPr>
  </w:style>
  <w:style w:type="character" w:customStyle="1" w:styleId="YltunnisteChar">
    <w:name w:val="Ylätunniste Char"/>
    <w:basedOn w:val="Kappaleenoletusfontti"/>
    <w:link w:val="Yltunniste"/>
    <w:uiPriority w:val="99"/>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9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hnio@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5160</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Krisina</dc:creator>
  <cp:keywords/>
  <dc:description/>
  <cp:lastModifiedBy>Mäkelä Kristiina</cp:lastModifiedBy>
  <cp:revision>2</cp:revision>
  <cp:lastPrinted>2021-11-26T09:24:00Z</cp:lastPrinted>
  <dcterms:created xsi:type="dcterms:W3CDTF">2024-01-28T19:43:00Z</dcterms:created>
  <dcterms:modified xsi:type="dcterms:W3CDTF">2024-01-28T19:43:00Z</dcterms:modified>
</cp:coreProperties>
</file>