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1886B" w14:textId="06EE36FD" w:rsidR="00901936" w:rsidRPr="00A807C5" w:rsidRDefault="00A807C5">
      <w:pPr>
        <w:rPr>
          <w:b/>
          <w:sz w:val="40"/>
          <w:szCs w:val="40"/>
          <w:u w:val="single"/>
        </w:rPr>
      </w:pPr>
      <w:r w:rsidRPr="00A807C5">
        <w:rPr>
          <w:b/>
          <w:sz w:val="40"/>
          <w:szCs w:val="40"/>
          <w:u w:val="single"/>
        </w:rPr>
        <w:t>TEKNINEN OSASTO / OSAVUOSIKATSAUS 30.6.202</w:t>
      </w:r>
      <w:r w:rsidR="006C2A79">
        <w:rPr>
          <w:b/>
          <w:sz w:val="40"/>
          <w:szCs w:val="40"/>
          <w:u w:val="single"/>
        </w:rPr>
        <w:t>4</w:t>
      </w:r>
    </w:p>
    <w:p w14:paraId="792B4696" w14:textId="77777777" w:rsidR="007D5517" w:rsidRPr="00032658" w:rsidRDefault="00BD57B4">
      <w:pPr>
        <w:rPr>
          <w:rFonts w:ascii="Arial" w:hAnsi="Arial" w:cs="Arial"/>
          <w:b/>
          <w:sz w:val="24"/>
          <w:szCs w:val="24"/>
        </w:rPr>
      </w:pPr>
      <w:r w:rsidRPr="00032658">
        <w:rPr>
          <w:rFonts w:ascii="Arial" w:hAnsi="Arial" w:cs="Arial"/>
          <w:b/>
          <w:sz w:val="24"/>
          <w:szCs w:val="24"/>
        </w:rPr>
        <w:t>MAANKÄYTÖN SUUNNITTELU</w:t>
      </w:r>
    </w:p>
    <w:p w14:paraId="0C3FE0E8" w14:textId="77777777" w:rsidR="007D5517" w:rsidRPr="00796084" w:rsidRDefault="00BD57B4">
      <w:pPr>
        <w:rPr>
          <w:rFonts w:ascii="Arial" w:hAnsi="Arial" w:cs="Arial"/>
          <w:sz w:val="24"/>
          <w:szCs w:val="24"/>
        </w:rPr>
      </w:pPr>
      <w:r w:rsidRPr="00034251">
        <w:rPr>
          <w:rFonts w:ascii="Arial" w:hAnsi="Arial" w:cs="Arial"/>
          <w:sz w:val="24"/>
          <w:szCs w:val="24"/>
        </w:rPr>
        <w:t>Tähän tehtäväalueeseen kuuluvat kaavoitus ja rakennusvalvonta.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60"/>
        <w:gridCol w:w="1475"/>
        <w:gridCol w:w="1475"/>
        <w:gridCol w:w="1602"/>
        <w:gridCol w:w="1609"/>
      </w:tblGrid>
      <w:tr w:rsidR="007D5517" w:rsidRPr="007D5517" w14:paraId="2681F5C8" w14:textId="77777777" w:rsidTr="004162D8">
        <w:trPr>
          <w:trHeight w:val="559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D3DD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85DF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3B33ABE1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B7EC" w14:textId="77777777" w:rsidR="007D5517" w:rsidRPr="007D5517" w:rsidRDefault="00D930E2" w:rsidP="007D551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="007D5517"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A2C4" w14:textId="77777777" w:rsidR="007D5517" w:rsidRPr="007D5517" w:rsidRDefault="007D5517" w:rsidP="007D551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FE5D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6F00025C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75AF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121ABAEE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7D5517" w:rsidRPr="007D5517" w14:paraId="626A9C18" w14:textId="77777777" w:rsidTr="004162D8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D1C5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63C8" w14:textId="3A4B5E75" w:rsidR="007D5517" w:rsidRPr="007D5517" w:rsidRDefault="005E366B" w:rsidP="002A1912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514A9A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</w:t>
            </w:r>
            <w:r w:rsidR="002A1912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14.500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DB1B" w14:textId="21C69293" w:rsidR="007D5517" w:rsidRPr="007D5517" w:rsidRDefault="005E366B" w:rsidP="002A1912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514A9A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</w:t>
            </w:r>
            <w:r w:rsidR="002A1912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6.135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606B" w14:textId="0FF56B65" w:rsidR="007D5517" w:rsidRPr="007D5517" w:rsidRDefault="002A1912" w:rsidP="007D5517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42,3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3B8E6" w14:textId="46F4DB93" w:rsidR="007D5517" w:rsidRPr="007D5517" w:rsidRDefault="006C2A79" w:rsidP="00DE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2A1912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14.500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02BA" w14:textId="165EAA37" w:rsidR="007D5517" w:rsidRPr="007D5517" w:rsidRDefault="002A74ED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0</w:t>
            </w:r>
          </w:p>
        </w:tc>
      </w:tr>
      <w:tr w:rsidR="007D5517" w:rsidRPr="007D5517" w14:paraId="5E95A90B" w14:textId="77777777" w:rsidTr="004162D8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2E98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49F2" w14:textId="67FBF5B1" w:rsidR="007D5517" w:rsidRPr="007D5517" w:rsidRDefault="006C2A79" w:rsidP="00416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2A1912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-97.683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4A2C0" w14:textId="487EE3C5" w:rsidR="007D5517" w:rsidRPr="007D5517" w:rsidRDefault="002A1912" w:rsidP="00DE7A6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-36.362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97C9" w14:textId="0EB5DB6C" w:rsidR="007D5517" w:rsidRPr="007D5517" w:rsidRDefault="002A1912" w:rsidP="007D551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37,2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D38F" w14:textId="1547B95E" w:rsidR="007D5517" w:rsidRPr="007D5517" w:rsidRDefault="002A1912" w:rsidP="00DE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-97.683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3F11C" w14:textId="2261F64D" w:rsidR="007D5517" w:rsidRPr="007D5517" w:rsidRDefault="006B047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7D5517"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03265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4162D8" w:rsidRPr="004162D8" w14:paraId="0290AE3F" w14:textId="77777777" w:rsidTr="004162D8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E2A" w14:textId="77777777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4BB3" w14:textId="5DABE692" w:rsidR="004162D8" w:rsidRPr="004162D8" w:rsidRDefault="004162D8" w:rsidP="002A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2A1912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-83.183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05F2" w14:textId="38FCD5A5" w:rsidR="004162D8" w:rsidRPr="004162D8" w:rsidRDefault="002A1912" w:rsidP="004162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-30.226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C865" w14:textId="5FF67C96" w:rsidR="004162D8" w:rsidRPr="004162D8" w:rsidRDefault="002A1912" w:rsidP="004162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36,3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7601" w14:textId="7EDDEEC9" w:rsidR="004162D8" w:rsidRPr="004162D8" w:rsidRDefault="006C2A79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-83.183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C5C3" w14:textId="2332B4B4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4162D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6B047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Pr="004162D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</w:tbl>
    <w:p w14:paraId="037969A7" w14:textId="77777777" w:rsidR="001E2F1C" w:rsidRPr="004162D8" w:rsidRDefault="007D5517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fi-FI"/>
        </w:rPr>
      </w:pPr>
      <w:r w:rsidRPr="007D5517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fi-FI"/>
        </w:rPr>
        <w:t> </w:t>
      </w:r>
    </w:p>
    <w:p w14:paraId="63D6D913" w14:textId="59614ABE" w:rsidR="00032658" w:rsidRPr="00032658" w:rsidRDefault="00F261A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Parkano laskuttaa yhteistoimintaosuudet loppuvuosipainotteisesti</w:t>
      </w:r>
      <w:r w:rsidR="00BF7F2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, eivätkä menot jakaudu siten tasaisesti.</w:t>
      </w:r>
    </w:p>
    <w:p w14:paraId="4452A195" w14:textId="77777777" w:rsidR="00032658" w:rsidRPr="00032658" w:rsidRDefault="00032658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</w:p>
    <w:p w14:paraId="78E5C6DA" w14:textId="77777777" w:rsidR="00BF7F2E" w:rsidRDefault="00032658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  <w:r w:rsidRPr="0003265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Kaavoituksessa </w:t>
      </w:r>
      <w:r w:rsidR="00DE7A6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Kihniön alueella on meneillään </w:t>
      </w:r>
      <w:r w:rsidR="006425E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neljä</w:t>
      </w:r>
      <w:r w:rsidR="00DE7A6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 eri tuulivoimapuistohanketta, joi</w:t>
      </w:r>
      <w:r w:rsidR="002F4F4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hin tehdään osayleiskaavoitusta</w:t>
      </w:r>
      <w:r w:rsidR="00B00DD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 sekä </w:t>
      </w:r>
      <w:r w:rsidR="00F261A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neljä</w:t>
      </w:r>
      <w:r w:rsidR="00B00DD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 eri maanomistajien käynnistämää ranta-asemakaavahanketta.</w:t>
      </w:r>
    </w:p>
    <w:p w14:paraId="09220D08" w14:textId="77777777" w:rsidR="00BF7F2E" w:rsidRDefault="00BF7F2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</w:p>
    <w:p w14:paraId="74B53A24" w14:textId="0ABFA56A" w:rsidR="00032658" w:rsidRDefault="00BF7F2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Osana talouden sopeuttamista vuonna 2024 aloitetaan kunnan kaavahankkeiden edistäminen, tavoitteena kaavoittaa omarantaisia tontteja.</w:t>
      </w:r>
    </w:p>
    <w:p w14:paraId="39167913" w14:textId="77777777" w:rsidR="00BF7F2E" w:rsidRDefault="00BF7F2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</w:p>
    <w:p w14:paraId="7617AC1F" w14:textId="15C3438F" w:rsidR="00BF7F2E" w:rsidRDefault="00BF7F2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Maankäytön suunnitteluun liittyvää digitalisaatiota, erityisesti rakennusvalvonnassa, on edistetty viime vuosina.</w:t>
      </w:r>
    </w:p>
    <w:p w14:paraId="67847687" w14:textId="77777777" w:rsidR="004162D8" w:rsidRPr="00032658" w:rsidRDefault="004162D8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</w:p>
    <w:p w14:paraId="5FC41832" w14:textId="77777777" w:rsidR="007D5517" w:rsidRDefault="00032658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fi-FI"/>
        </w:rPr>
      </w:pPr>
      <w:r w:rsidRPr="0003265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fi-FI"/>
        </w:rPr>
        <w:t>YMPÄRISTÖNSUOJELU</w:t>
      </w:r>
      <w:r w:rsidR="007D5517" w:rsidRPr="007D551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fi-FI"/>
        </w:rPr>
        <w:t> </w:t>
      </w:r>
    </w:p>
    <w:p w14:paraId="00E11960" w14:textId="77777777" w:rsidR="00D930E2" w:rsidRPr="007D5517" w:rsidRDefault="007D5517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  <w:r w:rsidRPr="007D5517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fi-FI"/>
        </w:rPr>
        <w:t> 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60"/>
        <w:gridCol w:w="1475"/>
        <w:gridCol w:w="1475"/>
        <w:gridCol w:w="1602"/>
        <w:gridCol w:w="1609"/>
      </w:tblGrid>
      <w:tr w:rsidR="00D930E2" w:rsidRPr="007D5517" w14:paraId="09561D90" w14:textId="77777777" w:rsidTr="004162D8">
        <w:trPr>
          <w:trHeight w:val="559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17DE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8EFD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0829886F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BC01" w14:textId="77777777" w:rsidR="00D930E2" w:rsidRPr="007D5517" w:rsidRDefault="00D930E2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363F" w14:textId="77777777" w:rsidR="00D930E2" w:rsidRPr="007D5517" w:rsidRDefault="00D930E2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FE75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2D3793BD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8D34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49D4F209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D930E2" w:rsidRPr="007D5517" w14:paraId="7D5A423D" w14:textId="77777777" w:rsidTr="004162D8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8CC11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8F34" w14:textId="01BADBD6" w:rsidR="00D930E2" w:rsidRPr="007D5517" w:rsidRDefault="005E366B" w:rsidP="006C2A79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</w:t>
            </w:r>
            <w:r w:rsidR="006C2A79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1</w:t>
            </w:r>
            <w:r w:rsidR="00032658" w:rsidRPr="00032658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.000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8E5D" w14:textId="3F069055" w:rsidR="00D930E2" w:rsidRPr="007D5517" w:rsidRDefault="00514A9A" w:rsidP="008716FC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6C2A79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7.020</w:t>
            </w: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62C5" w14:textId="4A09773F" w:rsidR="00D930E2" w:rsidRPr="007D5517" w:rsidRDefault="006C2A79" w:rsidP="008716FC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702,0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095D" w14:textId="444BB078" w:rsidR="00D930E2" w:rsidRPr="007D5517" w:rsidRDefault="006C2A79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8.000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B20E8" w14:textId="22809E84" w:rsidR="006330C0" w:rsidRPr="006330C0" w:rsidRDefault="0078741E" w:rsidP="007B4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6B047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BF7F2E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D930E2" w:rsidRPr="007D5517" w14:paraId="6AC740A0" w14:textId="77777777" w:rsidTr="004162D8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15D3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F647" w14:textId="56F1E780" w:rsidR="00D930E2" w:rsidRPr="007D5517" w:rsidRDefault="006C2A79" w:rsidP="00633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-25.569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C53B" w14:textId="505EFEFF" w:rsidR="00D930E2" w:rsidRPr="007D5517" w:rsidRDefault="006C2A79" w:rsidP="00EC35C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-12.790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2E31" w14:textId="57FE93FF" w:rsidR="00D930E2" w:rsidRPr="007D5517" w:rsidRDefault="006C2A79" w:rsidP="00EC35C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50,0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EBC2" w14:textId="00995747" w:rsidR="00D930E2" w:rsidRPr="007D5517" w:rsidRDefault="006330C0" w:rsidP="006C2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-25.</w:t>
            </w:r>
            <w:r w:rsidR="006C2A79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56</w:t>
            </w: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6923" w14:textId="77777777" w:rsidR="00D930E2" w:rsidRPr="007D5517" w:rsidRDefault="008716FC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81039D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4162D8" w:rsidRPr="004162D8" w14:paraId="4E5DAC1C" w14:textId="77777777" w:rsidTr="004162D8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1CF4" w14:textId="77777777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ACF6" w14:textId="52D82393" w:rsidR="004162D8" w:rsidRPr="004162D8" w:rsidRDefault="006C2A79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-24.569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17A1" w14:textId="12D4456F" w:rsidR="004162D8" w:rsidRPr="004162D8" w:rsidRDefault="006C2A79" w:rsidP="004162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-5.770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7985" w14:textId="2A24EF9F" w:rsidR="004162D8" w:rsidRPr="004162D8" w:rsidRDefault="006C2A79" w:rsidP="004162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23,5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AADF" w14:textId="5F34CD72" w:rsidR="004162D8" w:rsidRPr="004162D8" w:rsidRDefault="006C2A79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-17.569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18C2" w14:textId="77777777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4162D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0</w:t>
            </w:r>
          </w:p>
        </w:tc>
      </w:tr>
    </w:tbl>
    <w:p w14:paraId="4FF53408" w14:textId="77777777" w:rsidR="00BF7F2E" w:rsidRDefault="00BF7F2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79B46219" w14:textId="0845C521" w:rsidR="0081039D" w:rsidRDefault="0081039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 w:rsidRPr="00704506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Ympäristönsuojelun tulot koostuvat maa-aineslupien maksuista ja ympäristöluvista</w:t>
      </w:r>
      <w:r w:rsidR="0082126E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sekä teknisen lautakunnan käsittelymaksuista</w:t>
      </w:r>
      <w:r w:rsidR="00704506" w:rsidRPr="00704506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, joita on ollut budjetoitua </w:t>
      </w:r>
      <w:r w:rsidR="0082126E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enemmän</w:t>
      </w:r>
      <w:r w:rsidR="00704506" w:rsidRPr="00704506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.</w:t>
      </w:r>
    </w:p>
    <w:p w14:paraId="0149AB15" w14:textId="6C523C93" w:rsidR="0082126E" w:rsidRDefault="0082126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2BEAEAED" w14:textId="7ED57549" w:rsidR="00E64F8A" w:rsidRPr="00704506" w:rsidRDefault="00E64F8A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Menot </w:t>
      </w:r>
      <w:r w:rsidR="00C057D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pysynee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budjetin mukaisina.</w:t>
      </w:r>
    </w:p>
    <w:p w14:paraId="18244E59" w14:textId="77777777" w:rsidR="005E366B" w:rsidRDefault="005E366B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43DE6A26" w14:textId="77777777" w:rsidR="004D41AA" w:rsidRDefault="004D41AA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</w:p>
    <w:p w14:paraId="469B0806" w14:textId="77777777" w:rsidR="005E366B" w:rsidRPr="005E366B" w:rsidRDefault="005E366B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  <w:r w:rsidRPr="005E366B"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  <w:t>LIIKENNEVÄYLÄT JA YLEISET ALUEET</w:t>
      </w:r>
    </w:p>
    <w:p w14:paraId="448FAE50" w14:textId="77777777" w:rsidR="00D930E2" w:rsidRDefault="00D930E2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571F0EA0" w14:textId="77777777" w:rsidR="00D930E2" w:rsidRPr="00796084" w:rsidRDefault="005E366B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Tä</w:t>
      </w:r>
      <w:r w:rsidR="00796084"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h</w:t>
      </w:r>
      <w:r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än tehtäväaluee</w:t>
      </w:r>
      <w:r w:rsidR="00796084"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seen</w:t>
      </w:r>
      <w:r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ku</w:t>
      </w:r>
      <w:r w:rsidR="00796084"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u</w:t>
      </w:r>
      <w:r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lu</w:t>
      </w:r>
      <w:r w:rsidR="00796084"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va</w:t>
      </w:r>
      <w:r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t </w:t>
      </w:r>
      <w:r w:rsidR="00796084"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kadut ja yleiset alueet, tievalaistus, </w:t>
      </w:r>
      <w:r w:rsidR="004D41AA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yksityistiet, liikuntapaikat, puistot ja viheralueet sekä hulevesi.</w:t>
      </w:r>
    </w:p>
    <w:p w14:paraId="5D80E89D" w14:textId="77777777" w:rsidR="00D930E2" w:rsidRPr="007D5517" w:rsidRDefault="007D5517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  <w:r w:rsidRPr="007D5517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fi-FI"/>
        </w:rPr>
        <w:t> 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56"/>
        <w:gridCol w:w="1510"/>
        <w:gridCol w:w="1463"/>
        <w:gridCol w:w="1593"/>
        <w:gridCol w:w="1599"/>
      </w:tblGrid>
      <w:tr w:rsidR="00D930E2" w:rsidRPr="007D5517" w14:paraId="4EA47409" w14:textId="77777777" w:rsidTr="004162D8">
        <w:trPr>
          <w:trHeight w:val="559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BCBB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lastRenderedPageBreak/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28C7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0FB221C7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8DB5" w14:textId="77777777" w:rsidR="00D930E2" w:rsidRPr="007D5517" w:rsidRDefault="00D930E2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3E5B" w14:textId="77777777" w:rsidR="00D930E2" w:rsidRPr="007D5517" w:rsidRDefault="00D930E2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0E96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111C6F0E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2868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6163D9B9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D930E2" w:rsidRPr="007D5517" w14:paraId="65547E29" w14:textId="77777777" w:rsidTr="004162D8">
        <w:trPr>
          <w:trHeight w:val="513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5158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48CD" w14:textId="1842ACEC" w:rsidR="00D930E2" w:rsidRPr="0075433A" w:rsidRDefault="00CC4D5E" w:rsidP="006C2A79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6C2A79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  3.000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C447" w14:textId="154A6694" w:rsidR="00D930E2" w:rsidRPr="0075433A" w:rsidRDefault="006C2A79" w:rsidP="007B49E6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   2.035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AF89" w14:textId="44E7F94D" w:rsidR="00D930E2" w:rsidRPr="0075433A" w:rsidRDefault="006C2A79" w:rsidP="007B49E6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67,8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E924" w14:textId="414DDC99" w:rsidR="00D930E2" w:rsidRPr="007D5517" w:rsidRDefault="006C2A79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 3.000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0A21" w14:textId="77777777" w:rsidR="00D930E2" w:rsidRPr="00E44814" w:rsidRDefault="004162D8" w:rsidP="007B49E6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 w:rsidRPr="00E44814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0</w:t>
            </w:r>
          </w:p>
        </w:tc>
      </w:tr>
      <w:tr w:rsidR="00D930E2" w:rsidRPr="007D5517" w14:paraId="58BF50D7" w14:textId="77777777" w:rsidTr="004162D8">
        <w:trPr>
          <w:trHeight w:val="513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D391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585D" w14:textId="73ECFCD4" w:rsidR="00D930E2" w:rsidRPr="007D5517" w:rsidRDefault="006C2A79" w:rsidP="00633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-375.886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B6D5" w14:textId="2C82CFED" w:rsidR="00D930E2" w:rsidRPr="007D5517" w:rsidRDefault="006C2A79" w:rsidP="00FF0D5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-150.495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FB6B" w14:textId="54013D5E" w:rsidR="00D930E2" w:rsidRPr="007D5517" w:rsidRDefault="006C2A79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2364" w14:textId="00A0B7A6" w:rsidR="00D930E2" w:rsidRPr="007D5517" w:rsidRDefault="006C2A79" w:rsidP="00FF0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-375.886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A658" w14:textId="77777777" w:rsidR="00D930E2" w:rsidRPr="00E44814" w:rsidRDefault="00D930E2" w:rsidP="007B49E6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fi-FI"/>
              </w:rPr>
            </w:pPr>
            <w:r w:rsidRPr="00E44814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4162D8" w:rsidRPr="00E44814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0</w:t>
            </w:r>
          </w:p>
        </w:tc>
      </w:tr>
      <w:tr w:rsidR="004162D8" w:rsidRPr="004162D8" w14:paraId="54192444" w14:textId="77777777" w:rsidTr="004162D8">
        <w:trPr>
          <w:trHeight w:val="513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1DE6" w14:textId="77777777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D992" w14:textId="4DB351BA" w:rsidR="004162D8" w:rsidRPr="004162D8" w:rsidRDefault="006C2A79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-372.886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87C9" w14:textId="0EAF546B" w:rsidR="004162D8" w:rsidRPr="004162D8" w:rsidRDefault="006C2A79" w:rsidP="004162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-148.461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0A60" w14:textId="016A1CC2" w:rsidR="004162D8" w:rsidRPr="004162D8" w:rsidRDefault="006C2A79" w:rsidP="004162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39,8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F57D" w14:textId="35825391" w:rsidR="004162D8" w:rsidRPr="004162D8" w:rsidRDefault="006C2A79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-372.886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BCEA" w14:textId="77777777" w:rsidR="004162D8" w:rsidRPr="00E44814" w:rsidRDefault="004162D8" w:rsidP="004162D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fi-FI"/>
              </w:rPr>
            </w:pPr>
            <w:r w:rsidRPr="00E44814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 0</w:t>
            </w:r>
          </w:p>
        </w:tc>
      </w:tr>
    </w:tbl>
    <w:p w14:paraId="63911493" w14:textId="77777777" w:rsidR="007D5517" w:rsidRDefault="007D5517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4D032C3C" w14:textId="77777777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Toimintakulut:</w:t>
      </w:r>
    </w:p>
    <w:p w14:paraId="78A89996" w14:textId="2AA70534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k</w:t>
      </w:r>
      <w:r w:rsidR="00E64F8A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adut ja yleiset alueet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  <w:t>58,7 %</w:t>
      </w:r>
    </w:p>
    <w:p w14:paraId="0D38624C" w14:textId="00E33C9B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tievalaistus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  <w:t>43,6 %</w:t>
      </w:r>
    </w:p>
    <w:p w14:paraId="4C2FB558" w14:textId="22C87BAB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yksityistiet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  <w:t>65,1 %</w:t>
      </w:r>
    </w:p>
    <w:p w14:paraId="2DFBC45F" w14:textId="003D216F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ulkoliikuntapaikat 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  <w:t>31,5 %</w:t>
      </w:r>
    </w:p>
    <w:p w14:paraId="2953C1CB" w14:textId="3FFCC203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puistot ja viheralueet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  <w:t>43,6 %</w:t>
      </w:r>
    </w:p>
    <w:p w14:paraId="7C754569" w14:textId="5ECA7AB6" w:rsidR="00E64F8A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hulevesi 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  <w:t>4,3 %</w:t>
      </w:r>
    </w:p>
    <w:p w14:paraId="5D450BD8" w14:textId="77777777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1EE7ACCC" w14:textId="5BD551E8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Kaavateiden talvikunnossapitoon on mennyt budjetoitua enemmän, johtuen runsaslumisesta ja pitkästä talvesta. Loppuvuoden sääolosuhteet voivat</w:t>
      </w:r>
      <w:r w:rsidR="00C057D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vielä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tasoittaa</w:t>
      </w:r>
      <w:r w:rsidR="00C057D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tilannetta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.</w:t>
      </w:r>
    </w:p>
    <w:p w14:paraId="7EC82067" w14:textId="77777777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59A28243" w14:textId="008E6219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Yksityistieavustuksia jaettiin osana talouden sopeuttamisohjelmaa budjetoitua vähemmän.</w:t>
      </w:r>
    </w:p>
    <w:p w14:paraId="0A8ED9C2" w14:textId="77777777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34CC4EDF" w14:textId="37F14F35" w:rsidR="00C16EB2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Ulkoliikuntapaikkojen hoidon määrää ja laatua tarkastellaan toimintavuoden aikana, tavoitteena löytää talouden sopeuttamiskeinoja myös </w:t>
      </w:r>
      <w:r w:rsidR="00C16EB2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sieltä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. Yleisten alueiden, ulkoliikuntapaikkojen, puistojen ja viheralueiden kunnossapitoon on kuitenkin kesäkautena tehty sekä viranomaismääräysten et</w:t>
      </w:r>
      <w:r w:rsidR="00C16EB2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tä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kuntastrategian tavoitteiden mukaisia kunnossapitotoimia.</w:t>
      </w:r>
      <w:r w:rsidR="00C16EB2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Huleveden laskutus tapahtuu loppuvuosipainotteisesti.</w:t>
      </w:r>
    </w:p>
    <w:p w14:paraId="00681638" w14:textId="77777777" w:rsidR="00E64F8A" w:rsidRDefault="00E64F8A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77F2C706" w14:textId="70C1E11F" w:rsidR="00325E83" w:rsidRPr="00AC03E9" w:rsidRDefault="005645B5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Kustannuspaikan arvioidaan pysyvän budjetissa</w:t>
      </w:r>
      <w:r w:rsidR="00C16EB2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an.</w:t>
      </w:r>
    </w:p>
    <w:p w14:paraId="5C72238D" w14:textId="77777777" w:rsidR="00AC03E9" w:rsidRDefault="00AC03E9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21CAC159" w14:textId="77777777" w:rsidR="00AC03E9" w:rsidRDefault="00AC03E9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  <w:r w:rsidRPr="00AC03E9"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  <w:t>KIINTEISTÖT</w:t>
      </w:r>
    </w:p>
    <w:p w14:paraId="7A684719" w14:textId="77777777" w:rsidR="00AC03E9" w:rsidRDefault="00AC03E9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</w:p>
    <w:p w14:paraId="0D7C8D23" w14:textId="77777777" w:rsidR="00AC03E9" w:rsidRPr="00AC03E9" w:rsidRDefault="00AC03E9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 w:rsidRPr="00AC03E9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Tehtäväalue sisältää kunnan maa- ja metsätilat</w:t>
      </w:r>
    </w:p>
    <w:p w14:paraId="7E3F1F59" w14:textId="77777777" w:rsidR="00AC03E9" w:rsidRPr="007D5517" w:rsidRDefault="00AC03E9" w:rsidP="00AC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60"/>
        <w:gridCol w:w="1475"/>
        <w:gridCol w:w="1475"/>
        <w:gridCol w:w="1602"/>
        <w:gridCol w:w="1609"/>
      </w:tblGrid>
      <w:tr w:rsidR="00AC03E9" w:rsidRPr="007D5517" w14:paraId="14F295F7" w14:textId="77777777" w:rsidTr="007D5F6E">
        <w:trPr>
          <w:trHeight w:val="559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9CE8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A489F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0370DB86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5C67" w14:textId="77777777" w:rsidR="00AC03E9" w:rsidRPr="007D5517" w:rsidRDefault="00AC03E9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A227" w14:textId="77777777" w:rsidR="00AC03E9" w:rsidRPr="007D5517" w:rsidRDefault="00AC03E9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77A0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51461D93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7230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5BCE507C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AC03E9" w:rsidRPr="007D5517" w14:paraId="0258AF59" w14:textId="77777777" w:rsidTr="007D5F6E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F44E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C2A6E" w14:textId="566C33F1" w:rsidR="00AC03E9" w:rsidRPr="00742213" w:rsidRDefault="008E3EE5" w:rsidP="001C1144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8C7C" w14:textId="10118643" w:rsidR="00AC03E9" w:rsidRPr="00742213" w:rsidRDefault="006330C0" w:rsidP="00E01CA2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 w:rsidRPr="00742213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8E3EE5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58AC" w14:textId="0B58666D" w:rsidR="00AC03E9" w:rsidRPr="0075433A" w:rsidRDefault="008E3EE5" w:rsidP="001C1144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057" w14:textId="26F314A8" w:rsidR="00AC03E9" w:rsidRPr="001A1328" w:rsidRDefault="008E3EE5" w:rsidP="001C1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lang w:eastAsia="fi-FI"/>
              </w:rPr>
              <w:t>20 000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0BFD" w14:textId="2C321BB1" w:rsidR="00AC03E9" w:rsidRPr="007D5517" w:rsidRDefault="00AC03E9" w:rsidP="00E01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</w:tr>
      <w:tr w:rsidR="00AC03E9" w:rsidRPr="007D5517" w14:paraId="1157BA5B" w14:textId="77777777" w:rsidTr="007D5F6E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92EB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13F2" w14:textId="4E01E6BF" w:rsidR="00AC03E9" w:rsidRPr="007D5517" w:rsidRDefault="00E01CA2" w:rsidP="00633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-18.392</w:t>
            </w:r>
            <w:r w:rsidR="00AC03E9"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FBD6" w14:textId="73F5C28B" w:rsidR="00AC03E9" w:rsidRPr="007D5517" w:rsidRDefault="00E01CA2" w:rsidP="001858F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-8.827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212D" w14:textId="360E1D5E" w:rsidR="00AC03E9" w:rsidRPr="007D5517" w:rsidRDefault="00E01CA2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48,0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8C6B" w14:textId="6E934485" w:rsidR="00AC03E9" w:rsidRPr="007D5517" w:rsidRDefault="00E01CA2" w:rsidP="0018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-18.392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D33E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</w:tr>
      <w:tr w:rsidR="007D5F6E" w:rsidRPr="007D5F6E" w14:paraId="6FC0E83A" w14:textId="77777777" w:rsidTr="007D5F6E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FDD0" w14:textId="77777777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FCB7" w14:textId="440A2413" w:rsidR="007D5F6E" w:rsidRPr="007D5F6E" w:rsidRDefault="00E01CA2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-18.392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BE8A" w14:textId="1681608F" w:rsidR="007D5F6E" w:rsidRPr="007D5F6E" w:rsidRDefault="00E01CA2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-8.827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879B" w14:textId="3DC41710" w:rsidR="007D5F6E" w:rsidRPr="007D5F6E" w:rsidRDefault="00E01CA2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48,0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061F" w14:textId="568DE216" w:rsidR="007D5F6E" w:rsidRPr="007D5F6E" w:rsidRDefault="008E3EE5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+1.608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B1AC" w14:textId="1DCA0023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F6E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</w:tr>
    </w:tbl>
    <w:p w14:paraId="5699E39E" w14:textId="2A6DF108" w:rsidR="00AC03E9" w:rsidRDefault="00AC03E9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56C49912" w14:textId="0AD6910E" w:rsidR="00AB0A63" w:rsidRPr="008E3EE5" w:rsidRDefault="008E3EE5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Toimintavuodelle ei ole budjetoitu toimintatuottoja metsänmyynnistä. Kunnan omistamilla mailla Pyhäniemessä suoritetaan kuitenkin metsän- ja maisemanhoidollisia harvennushakkuita, joista syntyy puunmyyntituottoja.</w:t>
      </w:r>
    </w:p>
    <w:p w14:paraId="2A388F80" w14:textId="77777777" w:rsidR="008E3EE5" w:rsidRDefault="008E3EE5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5D84282C" w14:textId="77777777" w:rsidR="00AC03E9" w:rsidRDefault="00AC03E9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  <w:r w:rsidRPr="00AC03E9"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  <w:t>KIINTEISTÖJEN HOITO JA VUOKRAUS</w:t>
      </w:r>
    </w:p>
    <w:p w14:paraId="32061326" w14:textId="77777777" w:rsidR="00AC03E9" w:rsidRDefault="00AC03E9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</w:p>
    <w:p w14:paraId="2E19799D" w14:textId="77777777" w:rsidR="00AC03E9" w:rsidRPr="005D7A1E" w:rsidRDefault="005D7A1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 w:rsidRPr="005D7A1E">
        <w:rPr>
          <w:rFonts w:ascii="Arial" w:eastAsia="Times New Roman" w:hAnsi="Arial" w:cs="Arial"/>
          <w:color w:val="201F1E"/>
          <w:sz w:val="24"/>
          <w:szCs w:val="24"/>
          <w:lang w:eastAsia="fi-FI"/>
        </w:rPr>
        <w:lastRenderedPageBreak/>
        <w:t>Tehtäväalueelle kuuluvat kunnan kiinteistöt</w:t>
      </w:r>
    </w:p>
    <w:p w14:paraId="225B4997" w14:textId="77777777" w:rsidR="00AC03E9" w:rsidRPr="007D5517" w:rsidRDefault="00AC03E9" w:rsidP="00AC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50"/>
        <w:gridCol w:w="1502"/>
        <w:gridCol w:w="1455"/>
        <w:gridCol w:w="1622"/>
        <w:gridCol w:w="1592"/>
      </w:tblGrid>
      <w:tr w:rsidR="00AC03E9" w:rsidRPr="007D5517" w14:paraId="28715AE4" w14:textId="77777777" w:rsidTr="007D5F6E">
        <w:trPr>
          <w:trHeight w:val="559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D942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83AF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07C987BA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920E" w14:textId="77777777" w:rsidR="00AC03E9" w:rsidRPr="007D5517" w:rsidRDefault="00AC03E9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18BA" w14:textId="77777777" w:rsidR="00AC03E9" w:rsidRPr="007D5517" w:rsidRDefault="00AC03E9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51CB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14E39165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8F74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2F855096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AC03E9" w:rsidRPr="007D5517" w14:paraId="7EFC8710" w14:textId="77777777" w:rsidTr="007D5F6E">
        <w:trPr>
          <w:trHeight w:val="513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B2D9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F664" w14:textId="1C3C03D4" w:rsidR="00AC03E9" w:rsidRPr="0075433A" w:rsidRDefault="005D7A1E" w:rsidP="00E01CA2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E01CA2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1.426.586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61FB6" w14:textId="29E0E665" w:rsidR="00AC03E9" w:rsidRPr="0075433A" w:rsidRDefault="00E01CA2" w:rsidP="001858F8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694.938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6A9A" w14:textId="119A9229" w:rsidR="00AC03E9" w:rsidRPr="0075433A" w:rsidRDefault="00E01CA2" w:rsidP="001C1144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48,7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557C" w14:textId="792001E2" w:rsidR="00AC03E9" w:rsidRPr="007D5517" w:rsidRDefault="00F60ADF" w:rsidP="0018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E01CA2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1.426.586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5117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</w:tr>
      <w:tr w:rsidR="00AC03E9" w:rsidRPr="007D5517" w14:paraId="7D4129DB" w14:textId="77777777" w:rsidTr="007D5F6E">
        <w:trPr>
          <w:trHeight w:val="513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67B5B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7265B" w14:textId="73C6E476" w:rsidR="00AC03E9" w:rsidRPr="007D5517" w:rsidRDefault="00E01CA2" w:rsidP="00CC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-1.131.036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31CD" w14:textId="6D4DE2D5" w:rsidR="00AC03E9" w:rsidRPr="007D5517" w:rsidRDefault="00E01CA2" w:rsidP="001858F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-592.403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E368E" w14:textId="27FA9AB0" w:rsidR="00AC03E9" w:rsidRPr="007D5517" w:rsidRDefault="00E01CA2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52,4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9816" w14:textId="169D525C" w:rsidR="00AC03E9" w:rsidRPr="007D5517" w:rsidRDefault="00E01CA2" w:rsidP="00F60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-</w:t>
            </w:r>
            <w:r w:rsidR="00F60ADF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1.131.036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6E2A" w14:textId="518DE766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</w:p>
        </w:tc>
      </w:tr>
      <w:tr w:rsidR="007D5F6E" w:rsidRPr="007D5F6E" w14:paraId="509A7237" w14:textId="77777777" w:rsidTr="007D5F6E">
        <w:trPr>
          <w:trHeight w:val="513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A647" w14:textId="77777777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C50A" w14:textId="2C413042" w:rsidR="007D5F6E" w:rsidRPr="007D5F6E" w:rsidRDefault="00E01CA2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295.550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E2E8" w14:textId="4B702FA7" w:rsidR="007D5F6E" w:rsidRPr="007D5F6E" w:rsidRDefault="00E01CA2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102.535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A2B0" w14:textId="7C11C693" w:rsidR="007D5F6E" w:rsidRPr="007D5F6E" w:rsidRDefault="00E01CA2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34,7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33EC" w14:textId="02824A1A" w:rsidR="007D5F6E" w:rsidRPr="007D5F6E" w:rsidRDefault="00E01CA2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F60ADF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887.953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B37D" w14:textId="77777777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F6E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</w:tr>
    </w:tbl>
    <w:p w14:paraId="501C7D79" w14:textId="77777777" w:rsidR="00AC03E9" w:rsidRDefault="00AC03E9" w:rsidP="00AC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1EED185D" w14:textId="52593404" w:rsidR="00B13B63" w:rsidRDefault="00B13B63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Toimintakulut kunnan toiminnallisissa kiinteistöissä kokonaisuudessaan budjetin mukaiset, ylityksiä </w:t>
      </w:r>
      <w:r w:rsidR="00BA21FD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oli 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30.6.2024</w:t>
      </w:r>
      <w:r w:rsidR="00BA21FD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mennessä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Yhtenäiskoululla, </w:t>
      </w:r>
      <w:r w:rsidR="0046381B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V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anha</w:t>
      </w:r>
      <w:r w:rsidR="0046381B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ll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a terveystalo</w:t>
      </w:r>
      <w:r w:rsidR="0046381B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ll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a sekä </w:t>
      </w:r>
      <w:proofErr w:type="spellStart"/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Puumilassa</w:t>
      </w:r>
      <w:proofErr w:type="spellEnd"/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.</w:t>
      </w:r>
    </w:p>
    <w:p w14:paraId="64F8DA48" w14:textId="77777777" w:rsidR="00B13B63" w:rsidRDefault="00B13B63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5F5B26AE" w14:textId="3849A93B" w:rsidR="00374261" w:rsidRDefault="00B13B63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Koko kustannuspaikalla ylityksiä on </w:t>
      </w:r>
      <w:proofErr w:type="spellStart"/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ict</w:t>
      </w:r>
      <w:proofErr w:type="spellEnd"/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-palveluissa</w:t>
      </w:r>
      <w:r w:rsidR="00BA21FD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(valokuituliittymät, joi</w:t>
      </w:r>
      <w:r w:rsidR="0046381B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den liittymä- ja kk-maksuja</w:t>
      </w:r>
      <w:r w:rsidR="00BA21FD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ei oltu huomioitu talousarviota laadittaessa). </w:t>
      </w:r>
      <w:r w:rsidR="00374261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Myös asunto-osakeyhtiössä on jouduttu myös keräämään mm. kuituliittymistä johtuvia ylimääräisiä vastikkeita, jotka näkyvät rakennusten ja huoneistojen vuokrat -kustannuspaikalla.</w:t>
      </w:r>
    </w:p>
    <w:p w14:paraId="452D5A4E" w14:textId="77777777" w:rsidR="00374261" w:rsidRDefault="00374261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20E7E8E8" w14:textId="52270AAD" w:rsidR="00B13B63" w:rsidRDefault="00BA21F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Lämmityksiin on budjetista kulunut 67,6 % (tavanomaisesti kesäkuun loppuun </w:t>
      </w:r>
      <w:r w:rsidR="0046381B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n. 60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%) ja sähköön 56,6 %. Loppuvuoden sääolosuhteet ratkaisevat kokonaisuutta. Veden laskutus painottuu loppuvuoteen.</w:t>
      </w:r>
    </w:p>
    <w:p w14:paraId="26C673F1" w14:textId="77777777" w:rsidR="00B13B63" w:rsidRDefault="00B13B63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7EF6DA26" w14:textId="0C4CE0FF" w:rsidR="00B13B63" w:rsidRDefault="00B13B63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Vakuutukset kilpailuttamalla vuotuista säätöä vakuutuksissa on tul</w:t>
      </w:r>
      <w:r w:rsidR="00BA21FD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ossa n. 8000 €. Kiinteistöjen myyntiä on myös edistetty, joten myyntituottoja ja säätöjä toimintakuluissa tullee ainakin </w:t>
      </w:r>
      <w:proofErr w:type="spellStart"/>
      <w:r w:rsidR="00BA21FD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Mansikkämäen</w:t>
      </w:r>
      <w:proofErr w:type="spellEnd"/>
      <w:r w:rsidR="00BA21FD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myynnistä.</w:t>
      </w:r>
    </w:p>
    <w:p w14:paraId="218C1403" w14:textId="77777777" w:rsidR="00BA21FD" w:rsidRDefault="00BA21F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68CA9894" w14:textId="071B4CE9" w:rsidR="00E01CA2" w:rsidRDefault="00BA21FD" w:rsidP="00857B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Vuokratuotot ovat Koivikolla yli budjetin, mutta muissa rivitaloissa alle budjetoidun. Käyttöasteen parantamiseksi tulee </w:t>
      </w:r>
      <w:r w:rsidR="00374261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johdonmukaisesti toteuttaa talouden sopeuttamisen mukaisia toimenpiteitä vuokra-asuntojen määrän vähentämiseksi ja laadun </w:t>
      </w:r>
      <w:r w:rsidR="0046381B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parantamiseksi.</w:t>
      </w:r>
    </w:p>
    <w:p w14:paraId="074B11DD" w14:textId="77777777" w:rsidR="00857BB8" w:rsidRDefault="00857BB8" w:rsidP="00857B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1C50773F" w14:textId="3A30DA60" w:rsidR="00374261" w:rsidRDefault="00857BB8">
      <w:pPr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Kun tiedostetaan, että toimintatuotot voivat jäädä hieman alle budjetoidun, sekä toimintatuotot ylittyä yksitäisillä tileillä (</w:t>
      </w:r>
      <w:proofErr w:type="spellStart"/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ict</w:t>
      </w:r>
      <w:proofErr w:type="spellEnd"/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-palvelut, lämmitys, vastikkeet), loppu toimintavuodesta o</w:t>
      </w:r>
      <w:r w:rsidR="0046381B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n haasteellinen, mutta tarkalla taloudella muissa hankinnoissa budjetissa on kuitenkin mahdollista pysyä.</w:t>
      </w:r>
    </w:p>
    <w:p w14:paraId="2BA814DE" w14:textId="77777777" w:rsidR="00374261" w:rsidRDefault="00374261">
      <w:pPr>
        <w:rPr>
          <w:rFonts w:ascii="Arial" w:hAnsi="Arial" w:cs="Arial"/>
          <w:b/>
          <w:sz w:val="24"/>
          <w:szCs w:val="24"/>
        </w:rPr>
      </w:pPr>
    </w:p>
    <w:p w14:paraId="44F3A904" w14:textId="4258EEB6" w:rsidR="005D7A1E" w:rsidRDefault="00EB0D87">
      <w:pPr>
        <w:rPr>
          <w:rFonts w:ascii="Arial" w:hAnsi="Arial" w:cs="Arial"/>
          <w:b/>
          <w:sz w:val="24"/>
          <w:szCs w:val="24"/>
        </w:rPr>
      </w:pPr>
      <w:r w:rsidRPr="00EB0D87">
        <w:rPr>
          <w:rFonts w:ascii="Arial" w:hAnsi="Arial" w:cs="Arial"/>
          <w:b/>
          <w:sz w:val="24"/>
          <w:szCs w:val="24"/>
        </w:rPr>
        <w:t>TEKNISET PALVELUT, TUKIPALVELUT</w:t>
      </w:r>
    </w:p>
    <w:p w14:paraId="52A7DD9C" w14:textId="444CF610" w:rsidR="00EB0D87" w:rsidRPr="00EB0D87" w:rsidRDefault="00EB0D87">
      <w:pPr>
        <w:rPr>
          <w:rFonts w:ascii="Arial" w:hAnsi="Arial" w:cs="Arial"/>
          <w:sz w:val="24"/>
          <w:szCs w:val="24"/>
        </w:rPr>
      </w:pPr>
      <w:r w:rsidRPr="00EB0D87">
        <w:rPr>
          <w:rFonts w:ascii="Arial" w:hAnsi="Arial" w:cs="Arial"/>
          <w:sz w:val="24"/>
          <w:szCs w:val="24"/>
        </w:rPr>
        <w:t>Teknisiin palveluihin kuuluvat teknisen toimen hallinto, laitosmiespalvelut ja konekeskus</w:t>
      </w:r>
      <w:r>
        <w:rPr>
          <w:rFonts w:ascii="Arial" w:hAnsi="Arial" w:cs="Arial"/>
          <w:sz w:val="24"/>
          <w:szCs w:val="24"/>
        </w:rPr>
        <w:t>.</w:t>
      </w:r>
    </w:p>
    <w:p w14:paraId="0CED9DBD" w14:textId="77777777" w:rsidR="005D7A1E" w:rsidRDefault="005D7A1E"/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56"/>
        <w:gridCol w:w="1510"/>
        <w:gridCol w:w="1463"/>
        <w:gridCol w:w="1593"/>
        <w:gridCol w:w="1599"/>
      </w:tblGrid>
      <w:tr w:rsidR="005D7A1E" w:rsidRPr="007D5517" w14:paraId="70DF44B7" w14:textId="77777777" w:rsidTr="007D5F6E">
        <w:trPr>
          <w:trHeight w:val="559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1D00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4B76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30DDCC21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CD4CC" w14:textId="77777777" w:rsidR="005D7A1E" w:rsidRPr="007D5517" w:rsidRDefault="005D7A1E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C6289" w14:textId="77777777" w:rsidR="005D7A1E" w:rsidRPr="007D5517" w:rsidRDefault="005D7A1E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0619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10EFCF3E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2F0D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7E8FE208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5D7A1E" w:rsidRPr="007D5517" w14:paraId="7BAC805F" w14:textId="77777777" w:rsidTr="007D5F6E">
        <w:trPr>
          <w:trHeight w:val="513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0B67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500D" w14:textId="5BCA5D82" w:rsidR="005D7A1E" w:rsidRPr="0075433A" w:rsidRDefault="00753F5A" w:rsidP="00CC4D5E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364.457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D032" w14:textId="7D721CF0" w:rsidR="005D7A1E" w:rsidRPr="0075433A" w:rsidRDefault="00753F5A" w:rsidP="00DB091E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142.505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0752" w14:textId="68396E79" w:rsidR="005D7A1E" w:rsidRPr="0075433A" w:rsidRDefault="00753F5A" w:rsidP="001C1144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39,1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C9FA" w14:textId="537246C3" w:rsidR="005D7A1E" w:rsidRPr="007D5517" w:rsidRDefault="00753F5A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364.457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58F4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</w:tr>
      <w:tr w:rsidR="005D7A1E" w:rsidRPr="007D5517" w14:paraId="648F1E6F" w14:textId="77777777" w:rsidTr="007D5F6E">
        <w:trPr>
          <w:trHeight w:val="513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C6E8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78A3" w14:textId="65903162" w:rsidR="005D7A1E" w:rsidRPr="007D5517" w:rsidRDefault="00753F5A" w:rsidP="00CC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-364.457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F48F" w14:textId="241A6649" w:rsidR="005D7A1E" w:rsidRPr="007D5517" w:rsidRDefault="00753F5A" w:rsidP="00DB091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-169.978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E8CA" w14:textId="1270D42C" w:rsidR="005D7A1E" w:rsidRPr="007D5517" w:rsidRDefault="00753F5A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46,6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57B3B" w14:textId="346F77CA" w:rsidR="005D7A1E" w:rsidRPr="007D5517" w:rsidRDefault="00753F5A" w:rsidP="00DB0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-364.457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44D9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</w:tr>
      <w:tr w:rsidR="007D5F6E" w:rsidRPr="007D5F6E" w14:paraId="2B0CD672" w14:textId="77777777" w:rsidTr="007D5F6E">
        <w:trPr>
          <w:trHeight w:val="513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F6DDA" w14:textId="77777777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lastRenderedPageBreak/>
              <w:t>Toimintakate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22C1" w14:textId="5ACD0EA3" w:rsidR="007D5F6E" w:rsidRPr="007D5F6E" w:rsidRDefault="00753F5A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        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28CC" w14:textId="622F80EF" w:rsidR="007D5F6E" w:rsidRPr="007D5F6E" w:rsidRDefault="00753F5A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-27.474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9D60E" w14:textId="629DFFC7" w:rsidR="007D5F6E" w:rsidRPr="007D5F6E" w:rsidRDefault="00753F5A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-100,0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968D" w14:textId="0E3CD9B8" w:rsidR="007D5F6E" w:rsidRPr="007D5F6E" w:rsidRDefault="00753F5A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        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734A" w14:textId="77777777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F6E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</w:tr>
    </w:tbl>
    <w:p w14:paraId="268B90EF" w14:textId="77777777" w:rsidR="005D7A1E" w:rsidRDefault="005D7A1E" w:rsidP="005D7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31788A14" w14:textId="7C2ED213" w:rsidR="00040797" w:rsidRDefault="006A03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Teknisen h</w:t>
      </w:r>
      <w:r w:rsidR="00E6707B" w:rsidRPr="00E6707B">
        <w:rPr>
          <w:rFonts w:ascii="Arial" w:hAnsi="Arial" w:cs="Arial"/>
          <w:sz w:val="24"/>
          <w:szCs w:val="24"/>
        </w:rPr>
        <w:t xml:space="preserve">allinnon kulut jaetaan sisäisenä eränä teknisen lautakunnan muille kustannuspaikoille. Laitosmiespalvelut ja konekeskus jaetaan sisäisenä eränä </w:t>
      </w:r>
      <w:r>
        <w:rPr>
          <w:rFonts w:ascii="Arial" w:hAnsi="Arial" w:cs="Arial"/>
          <w:sz w:val="24"/>
          <w:szCs w:val="24"/>
        </w:rPr>
        <w:t>teknisen lautakunnan</w:t>
      </w:r>
      <w:r w:rsidR="00E6707B" w:rsidRPr="00E6707B">
        <w:rPr>
          <w:rFonts w:ascii="Arial" w:hAnsi="Arial" w:cs="Arial"/>
          <w:sz w:val="24"/>
          <w:szCs w:val="24"/>
        </w:rPr>
        <w:t xml:space="preserve"> omille kustannuspaikoille sekä muille hallintokunnille.</w:t>
      </w:r>
      <w:r w:rsidR="00413981">
        <w:rPr>
          <w:rFonts w:ascii="Arial" w:hAnsi="Arial" w:cs="Arial"/>
          <w:sz w:val="24"/>
          <w:szCs w:val="24"/>
        </w:rPr>
        <w:t xml:space="preserve"> Laitosmiespalveluja myös myydään</w:t>
      </w:r>
      <w:r>
        <w:rPr>
          <w:rFonts w:ascii="Arial" w:hAnsi="Arial" w:cs="Arial"/>
          <w:sz w:val="24"/>
          <w:szCs w:val="24"/>
        </w:rPr>
        <w:t xml:space="preserve"> Kihniön Vesi ja Lämpö Oy:lle,</w:t>
      </w:r>
      <w:r w:rsidR="00413981">
        <w:rPr>
          <w:rFonts w:ascii="Arial" w:hAnsi="Arial" w:cs="Arial"/>
          <w:sz w:val="24"/>
          <w:szCs w:val="24"/>
        </w:rPr>
        <w:t xml:space="preserve"> Kihniön Vanhustentaloyhdistys ry:lle</w:t>
      </w:r>
      <w:r>
        <w:rPr>
          <w:rFonts w:ascii="Arial" w:hAnsi="Arial" w:cs="Arial"/>
          <w:sz w:val="24"/>
          <w:szCs w:val="24"/>
        </w:rPr>
        <w:t xml:space="preserve"> </w:t>
      </w:r>
      <w:r w:rsidR="00413981">
        <w:rPr>
          <w:rFonts w:ascii="Arial" w:hAnsi="Arial" w:cs="Arial"/>
          <w:sz w:val="24"/>
          <w:szCs w:val="24"/>
        </w:rPr>
        <w:t>sekä kunnan omistamille kolmelle taloyhtiölle.</w:t>
      </w:r>
    </w:p>
    <w:p w14:paraId="1DA5576A" w14:textId="77777777" w:rsidR="00877AAB" w:rsidRDefault="00B519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Henkilöstökulut ovat 40,9 %</w:t>
      </w:r>
      <w:r w:rsidR="00040797">
        <w:rPr>
          <w:rFonts w:ascii="Arial" w:hAnsi="Arial" w:cs="Arial"/>
          <w:sz w:val="24"/>
          <w:szCs w:val="24"/>
        </w:rPr>
        <w:t>. Toimintavuonna ei ole tehty uusia rekrytointeja vakituisten tai määräaikaisten työsuhteiden päättyessä, joten henkilöstökulujen osalta kustannuspaikka alittaa budjetin.</w:t>
      </w:r>
      <w:r w:rsidR="00877AAB">
        <w:rPr>
          <w:rFonts w:ascii="Arial" w:hAnsi="Arial" w:cs="Arial"/>
          <w:sz w:val="24"/>
          <w:szCs w:val="24"/>
        </w:rPr>
        <w:t xml:space="preserve"> Vastaavasti myyntituotto-odotuksissa ei päästä budjettiin. Teknisen henkilöstöv</w:t>
      </w:r>
      <w:r w:rsidR="00040797">
        <w:rPr>
          <w:rFonts w:ascii="Arial" w:hAnsi="Arial" w:cs="Arial"/>
          <w:sz w:val="24"/>
          <w:szCs w:val="24"/>
        </w:rPr>
        <w:t>ajetta täydennetään kustannuspaikkakohtaisin ostopalveluin.</w:t>
      </w:r>
    </w:p>
    <w:p w14:paraId="630CD221" w14:textId="044E75AC" w:rsidR="00B51989" w:rsidRDefault="000407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Teknisen sektoria on kehitetty aktiivisesti ja toimenpiteitä toiminnan tehostamiseksi tehdään vaiheittain tunnistetun kehityspolun mukaisesti</w:t>
      </w:r>
      <w:r w:rsidR="00877AAB">
        <w:rPr>
          <w:rFonts w:ascii="Arial" w:hAnsi="Arial" w:cs="Arial"/>
          <w:sz w:val="24"/>
          <w:szCs w:val="24"/>
        </w:rPr>
        <w:t xml:space="preserve"> sekä toimintavuoden että tulevien suunnitelmavuosien aikana.</w:t>
      </w:r>
    </w:p>
    <w:p w14:paraId="3026F93A" w14:textId="77777777" w:rsidR="00413981" w:rsidRPr="00413981" w:rsidRDefault="00413981">
      <w:pPr>
        <w:rPr>
          <w:rFonts w:ascii="Arial" w:hAnsi="Arial" w:cs="Arial"/>
          <w:b/>
          <w:sz w:val="24"/>
          <w:szCs w:val="24"/>
        </w:rPr>
      </w:pPr>
      <w:r w:rsidRPr="00413981">
        <w:rPr>
          <w:rFonts w:ascii="Arial" w:hAnsi="Arial" w:cs="Arial"/>
          <w:b/>
          <w:sz w:val="24"/>
          <w:szCs w:val="24"/>
        </w:rPr>
        <w:t>TEKNINEN LAUTAKUNTA</w:t>
      </w:r>
      <w:r w:rsidR="007D5F6E">
        <w:rPr>
          <w:rFonts w:ascii="Arial" w:hAnsi="Arial" w:cs="Arial"/>
          <w:b/>
          <w:sz w:val="24"/>
          <w:szCs w:val="24"/>
        </w:rPr>
        <w:br/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44"/>
        <w:gridCol w:w="1542"/>
        <w:gridCol w:w="1441"/>
        <w:gridCol w:w="1613"/>
        <w:gridCol w:w="1581"/>
      </w:tblGrid>
      <w:tr w:rsidR="00E6707B" w:rsidRPr="007D5517" w14:paraId="2B60CFF6" w14:textId="77777777" w:rsidTr="007D5F6E">
        <w:trPr>
          <w:trHeight w:val="559"/>
        </w:trPr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E66F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C0B49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5AE9DCFD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FBE49" w14:textId="77777777" w:rsidR="00E6707B" w:rsidRPr="007D5517" w:rsidRDefault="00E6707B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3D155" w14:textId="77777777" w:rsidR="00E6707B" w:rsidRPr="007D5517" w:rsidRDefault="00E6707B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8969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2E9E71B0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4009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2CB15D9B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E6707B" w:rsidRPr="007D5517" w14:paraId="5B5A290E" w14:textId="77777777" w:rsidTr="007D5F6E">
        <w:trPr>
          <w:trHeight w:val="513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6E33D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70F4" w14:textId="38B71317" w:rsidR="00E6707B" w:rsidRPr="0075433A" w:rsidRDefault="00753F5A" w:rsidP="00CC4D5E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1.809.543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19A8" w14:textId="62641BAA" w:rsidR="00E6707B" w:rsidRPr="0075433A" w:rsidRDefault="00753F5A" w:rsidP="003831A2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853.471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13C7" w14:textId="7BD760DF" w:rsidR="00E6707B" w:rsidRPr="0075433A" w:rsidRDefault="00753F5A" w:rsidP="001C1144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47,2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99A6" w14:textId="35863F72" w:rsidR="00E6707B" w:rsidRPr="007D5517" w:rsidRDefault="00753F5A" w:rsidP="0038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1.809.543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65C6" w14:textId="02AEA386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</w:p>
        </w:tc>
      </w:tr>
      <w:tr w:rsidR="00E6707B" w:rsidRPr="007D5517" w14:paraId="768BB981" w14:textId="77777777" w:rsidTr="007D5F6E">
        <w:trPr>
          <w:trHeight w:val="513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ECE8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4C90" w14:textId="3910192A" w:rsidR="00E6707B" w:rsidRPr="007D5517" w:rsidRDefault="00753F5A" w:rsidP="00CC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-1.994.631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E058" w14:textId="2498413F" w:rsidR="00E6707B" w:rsidRPr="007D5517" w:rsidRDefault="00753F5A" w:rsidP="003831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-962.029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5400" w14:textId="4CFFAB0B" w:rsidR="00E6707B" w:rsidRPr="007D5517" w:rsidRDefault="00753F5A" w:rsidP="003831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48,2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8182" w14:textId="5CD30840" w:rsidR="00E6707B" w:rsidRPr="007D5517" w:rsidRDefault="00753F5A" w:rsidP="0038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-1.994.631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154B" w14:textId="26F06C6C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</w:p>
        </w:tc>
      </w:tr>
      <w:tr w:rsidR="007D5F6E" w:rsidRPr="007D5F6E" w14:paraId="1CC529A9" w14:textId="77777777" w:rsidTr="007D5F6E">
        <w:trPr>
          <w:trHeight w:val="513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9334" w14:textId="77777777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3026" w14:textId="3FFF1AE1" w:rsidR="007D5F6E" w:rsidRPr="007D5F6E" w:rsidRDefault="00753F5A" w:rsidP="0092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-185.088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7D7C1" w14:textId="7B573D66" w:rsidR="007D5F6E" w:rsidRPr="007D5F6E" w:rsidRDefault="00753F5A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-108.558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D890" w14:textId="2AC76AED" w:rsidR="007D5F6E" w:rsidRPr="007D5F6E" w:rsidRDefault="00753F5A" w:rsidP="00921EB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58,7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D0CC" w14:textId="52B30ECD" w:rsidR="007D5F6E" w:rsidRPr="007D5F6E" w:rsidRDefault="00753F5A" w:rsidP="0092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-185.088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2FCB3" w14:textId="77777777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F6E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</w:tr>
    </w:tbl>
    <w:p w14:paraId="0E37A58E" w14:textId="71545B12" w:rsidR="00E44814" w:rsidRDefault="0033291A" w:rsidP="00A2356A">
      <w:pPr>
        <w:ind w:left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83AD620" w14:textId="61E5CB10" w:rsidR="000B6418" w:rsidRPr="000B6418" w:rsidRDefault="000B6418" w:rsidP="000B6418">
      <w:pPr>
        <w:pStyle w:val="Otsikko3"/>
        <w:rPr>
          <w:rFonts w:ascii="Arial" w:eastAsia="Calibri" w:hAnsi="Arial" w:cs="Arial"/>
          <w:b/>
          <w:bCs/>
          <w:color w:val="auto"/>
          <w:sz w:val="26"/>
          <w:szCs w:val="26"/>
          <w:lang w:val="x-none" w:eastAsia="x-none"/>
        </w:rPr>
      </w:pPr>
      <w:bookmarkStart w:id="1" w:name="_Toc25580225"/>
      <w:bookmarkStart w:id="2" w:name="_Toc57194868"/>
      <w:r w:rsidRPr="000B6418">
        <w:rPr>
          <w:rFonts w:ascii="Arial" w:eastAsia="Calibri" w:hAnsi="Arial" w:cs="Arial"/>
          <w:b/>
          <w:bCs/>
          <w:color w:val="auto"/>
          <w:sz w:val="26"/>
          <w:szCs w:val="26"/>
          <w:lang w:val="x-none" w:eastAsia="x-none"/>
        </w:rPr>
        <w:t xml:space="preserve">Kuntastrategiaan pohjautuvat </w:t>
      </w:r>
      <w:r w:rsidR="00E5669B">
        <w:rPr>
          <w:rFonts w:ascii="Arial" w:eastAsia="Calibri" w:hAnsi="Arial" w:cs="Arial"/>
          <w:b/>
          <w:bCs/>
          <w:color w:val="auto"/>
          <w:sz w:val="26"/>
          <w:szCs w:val="26"/>
          <w:lang w:eastAsia="x-none"/>
        </w:rPr>
        <w:t>tavoitteet</w:t>
      </w:r>
      <w:r w:rsidRPr="000B6418">
        <w:rPr>
          <w:rFonts w:ascii="Arial" w:eastAsia="Calibri" w:hAnsi="Arial" w:cs="Arial"/>
          <w:b/>
          <w:bCs/>
          <w:color w:val="auto"/>
          <w:sz w:val="26"/>
          <w:szCs w:val="26"/>
          <w:lang w:val="x-none" w:eastAsia="x-none"/>
        </w:rPr>
        <w:t xml:space="preserve"> teknisen lautakunnan tulosalueelle</w:t>
      </w:r>
      <w:bookmarkEnd w:id="1"/>
      <w:bookmarkEnd w:id="2"/>
    </w:p>
    <w:p w14:paraId="4435506F" w14:textId="77777777" w:rsidR="000B6418" w:rsidRPr="000B6418" w:rsidRDefault="000B6418" w:rsidP="000B6418">
      <w:pPr>
        <w:spacing w:after="0" w:line="240" w:lineRule="auto"/>
        <w:rPr>
          <w:rFonts w:ascii="Arial" w:eastAsia="Calibri" w:hAnsi="Arial" w:cs="Arial"/>
          <w:sz w:val="24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3"/>
        <w:gridCol w:w="1994"/>
      </w:tblGrid>
      <w:tr w:rsidR="000B6418" w:rsidRPr="000B6418" w14:paraId="74A39B6A" w14:textId="77777777" w:rsidTr="001A5C37">
        <w:trPr>
          <w:trHeight w:val="705"/>
        </w:trPr>
        <w:tc>
          <w:tcPr>
            <w:tcW w:w="1993" w:type="dxa"/>
            <w:shd w:val="clear" w:color="auto" w:fill="auto"/>
            <w:hideMark/>
          </w:tcPr>
          <w:p w14:paraId="4C5B7EC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Strateginen linjaus</w:t>
            </w:r>
          </w:p>
        </w:tc>
        <w:tc>
          <w:tcPr>
            <w:tcW w:w="1993" w:type="dxa"/>
            <w:shd w:val="clear" w:color="auto" w:fill="auto"/>
            <w:hideMark/>
          </w:tcPr>
          <w:p w14:paraId="6D1A7014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Toiminnallinen tavoite</w:t>
            </w:r>
          </w:p>
        </w:tc>
        <w:tc>
          <w:tcPr>
            <w:tcW w:w="1994" w:type="dxa"/>
            <w:shd w:val="clear" w:color="auto" w:fill="auto"/>
            <w:hideMark/>
          </w:tcPr>
          <w:p w14:paraId="2A4A916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Toimenpiteet/mittarit</w:t>
            </w:r>
          </w:p>
        </w:tc>
        <w:tc>
          <w:tcPr>
            <w:tcW w:w="1993" w:type="dxa"/>
            <w:shd w:val="clear" w:color="auto" w:fill="auto"/>
            <w:hideMark/>
          </w:tcPr>
          <w:p w14:paraId="09B9B44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Tavoitetaso</w:t>
            </w:r>
          </w:p>
        </w:tc>
        <w:tc>
          <w:tcPr>
            <w:tcW w:w="1994" w:type="dxa"/>
            <w:shd w:val="clear" w:color="auto" w:fill="auto"/>
            <w:hideMark/>
          </w:tcPr>
          <w:p w14:paraId="3445CBA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Tilanne 30.6. ja 31.12.</w:t>
            </w:r>
          </w:p>
        </w:tc>
      </w:tr>
      <w:tr w:rsidR="000B6418" w:rsidRPr="000B6418" w14:paraId="0E5BC33B" w14:textId="77777777" w:rsidTr="001A5C37">
        <w:trPr>
          <w:trHeight w:val="1800"/>
        </w:trPr>
        <w:tc>
          <w:tcPr>
            <w:tcW w:w="1993" w:type="dxa"/>
            <w:shd w:val="clear" w:color="auto" w:fill="auto"/>
            <w:hideMark/>
          </w:tcPr>
          <w:p w14:paraId="438E1D1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Omistajapolitiikka</w:t>
            </w:r>
          </w:p>
        </w:tc>
        <w:tc>
          <w:tcPr>
            <w:tcW w:w="1993" w:type="dxa"/>
            <w:shd w:val="clear" w:color="auto" w:fill="auto"/>
            <w:hideMark/>
          </w:tcPr>
          <w:p w14:paraId="3DFF685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Kiinteistö- ja toimitilastrategia 2024–2028 toimenpideohjelman mukaisia toimia toteutetaan 1–2 kpl/vuosi kiinteistökannan määrän vähentämiseksi ja laadun parantamiseksi</w:t>
            </w:r>
          </w:p>
        </w:tc>
        <w:tc>
          <w:tcPr>
            <w:tcW w:w="1994" w:type="dxa"/>
            <w:shd w:val="clear" w:color="auto" w:fill="auto"/>
            <w:hideMark/>
          </w:tcPr>
          <w:p w14:paraId="0A5332D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Kunnan kiinteistöjen kokonaismäärä</w:t>
            </w:r>
          </w:p>
        </w:tc>
        <w:tc>
          <w:tcPr>
            <w:tcW w:w="1993" w:type="dxa"/>
            <w:shd w:val="clear" w:color="auto" w:fill="auto"/>
            <w:hideMark/>
          </w:tcPr>
          <w:p w14:paraId="34D23C65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Kokonaismäärä -1 kpl/toimintavuosi</w:t>
            </w:r>
          </w:p>
        </w:tc>
        <w:tc>
          <w:tcPr>
            <w:tcW w:w="1994" w:type="dxa"/>
            <w:shd w:val="clear" w:color="auto" w:fill="auto"/>
            <w:hideMark/>
          </w:tcPr>
          <w:p w14:paraId="0063C3D0" w14:textId="26AD4626" w:rsidR="000B6418" w:rsidRPr="002F7157" w:rsidRDefault="00C057D4" w:rsidP="002F71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2F7157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0 kpl, mutta </w:t>
            </w:r>
            <w:r w:rsidR="002F7157" w:rsidRPr="002F7157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1–2</w:t>
            </w:r>
            <w:r w:rsidRPr="002F7157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kauppaa valmistelussa</w:t>
            </w:r>
          </w:p>
        </w:tc>
      </w:tr>
      <w:tr w:rsidR="000B6418" w:rsidRPr="000B6418" w14:paraId="17F26F77" w14:textId="77777777" w:rsidTr="001A5C37">
        <w:trPr>
          <w:trHeight w:val="900"/>
        </w:trPr>
        <w:tc>
          <w:tcPr>
            <w:tcW w:w="1993" w:type="dxa"/>
            <w:shd w:val="clear" w:color="auto" w:fill="auto"/>
            <w:hideMark/>
          </w:tcPr>
          <w:p w14:paraId="715D588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lastRenderedPageBreak/>
              <w:t>Alueellisen yritys- ja eritysosaamisen tunnistaminen ja kehittäminen</w:t>
            </w:r>
          </w:p>
        </w:tc>
        <w:tc>
          <w:tcPr>
            <w:tcW w:w="1993" w:type="dxa"/>
            <w:shd w:val="clear" w:color="auto" w:fill="auto"/>
            <w:hideMark/>
          </w:tcPr>
          <w:p w14:paraId="251AB7DA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Kunnan tekninen toimi aktiivisesti tarjoaa työharjoittelupaikkoja mm. kehitys- ja projektitöissä</w:t>
            </w:r>
          </w:p>
        </w:tc>
        <w:tc>
          <w:tcPr>
            <w:tcW w:w="1994" w:type="dxa"/>
            <w:shd w:val="clear" w:color="auto" w:fill="auto"/>
            <w:hideMark/>
          </w:tcPr>
          <w:p w14:paraId="0D0BECB5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Työharjoittelusopimus X kpl</w:t>
            </w:r>
          </w:p>
        </w:tc>
        <w:tc>
          <w:tcPr>
            <w:tcW w:w="1993" w:type="dxa"/>
            <w:shd w:val="clear" w:color="auto" w:fill="auto"/>
            <w:hideMark/>
          </w:tcPr>
          <w:p w14:paraId="1D848C4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1 kpl </w:t>
            </w: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työharjoittulusopimuksia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/ toimintavuosi</w:t>
            </w:r>
          </w:p>
        </w:tc>
        <w:tc>
          <w:tcPr>
            <w:tcW w:w="1994" w:type="dxa"/>
            <w:shd w:val="clear" w:color="auto" w:fill="auto"/>
            <w:hideMark/>
          </w:tcPr>
          <w:p w14:paraId="01078127" w14:textId="1725B7AC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 </w:t>
            </w:r>
            <w:r w:rsidR="002F7157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kpl työharjoittelusopimus + 1 kpl kesätyösopimus</w:t>
            </w:r>
          </w:p>
        </w:tc>
      </w:tr>
      <w:tr w:rsidR="000B6418" w:rsidRPr="000B6418" w14:paraId="6C5294A4" w14:textId="77777777" w:rsidTr="001A5C37">
        <w:trPr>
          <w:trHeight w:val="2100"/>
        </w:trPr>
        <w:tc>
          <w:tcPr>
            <w:tcW w:w="1993" w:type="dxa"/>
            <w:shd w:val="clear" w:color="auto" w:fill="auto"/>
            <w:hideMark/>
          </w:tcPr>
          <w:p w14:paraId="4AAAE7D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Matkailuun panostaminen</w:t>
            </w: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Kasvatamme kylän ja kylänraitin viihtyisyyttä asukkaiden ja yritysten yhteistyöllä; palvelee sekä asukkaita että kunnan matkailuimagoa</w:t>
            </w:r>
          </w:p>
        </w:tc>
        <w:tc>
          <w:tcPr>
            <w:tcW w:w="1993" w:type="dxa"/>
            <w:shd w:val="clear" w:color="auto" w:fill="auto"/>
            <w:hideMark/>
          </w:tcPr>
          <w:p w14:paraId="198D36F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982ED62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ED9BD45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23EAC6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Istutusten ja viheralueiden lisäys/muutos helppohoitoisemmaksi, </w:t>
            </w: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luonnonmuikaisemmaksi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ja lajikirjoltaan monipuolisemmaksi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Kylänraitin rantanäkymän kunnostaminen</w:t>
            </w:r>
          </w:p>
        </w:tc>
        <w:tc>
          <w:tcPr>
            <w:tcW w:w="1994" w:type="dxa"/>
            <w:shd w:val="clear" w:color="auto" w:fill="auto"/>
            <w:hideMark/>
          </w:tcPr>
          <w:p w14:paraId="49699974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330D865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3EA920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8F1E433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Viheralueiden määrä X kpl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02CC4C73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29D9C0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377F152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B719E7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0DA4175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00DFEB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3F2A5AD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ECAB1D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Rantojen raivaus X kpl</w:t>
            </w:r>
          </w:p>
        </w:tc>
        <w:tc>
          <w:tcPr>
            <w:tcW w:w="1993" w:type="dxa"/>
            <w:shd w:val="clear" w:color="auto" w:fill="auto"/>
            <w:hideMark/>
          </w:tcPr>
          <w:p w14:paraId="311576B3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F77729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473E23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CBA769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kpl toteutettua viheralueita/toimintavuosi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0864E03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0FB6C63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879DED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666C5E2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FC2388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8FF938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FCC290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Sulkuejärven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rantojen raivaus 1 kerta/toimintavuosi</w:t>
            </w:r>
          </w:p>
        </w:tc>
        <w:tc>
          <w:tcPr>
            <w:tcW w:w="1994" w:type="dxa"/>
            <w:shd w:val="clear" w:color="auto" w:fill="auto"/>
            <w:hideMark/>
          </w:tcPr>
          <w:p w14:paraId="4FACF734" w14:textId="77777777" w:rsidR="002F7157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 </w:t>
            </w:r>
          </w:p>
          <w:p w14:paraId="0F87B3D0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96C2F15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5F65110" w14:textId="77777777" w:rsidR="000B6418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kpl (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Prunnintien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maisemapelto, yksivuotisin kasvein)</w:t>
            </w:r>
          </w:p>
          <w:p w14:paraId="238B216C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CDD5A02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584AB73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45DB3D4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E9B963D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CC62BB3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29953DD" w14:textId="2C3FAAB6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kerta</w:t>
            </w:r>
          </w:p>
          <w:p w14:paraId="464F53E7" w14:textId="7ECD3E1E" w:rsidR="002F7157" w:rsidRPr="000B6418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Kihniö-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Sulkue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ry raivannut OP-puiston rannan, kunta raivaa Rajakallio-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Sulkue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asuinalueen rannat</w:t>
            </w:r>
          </w:p>
        </w:tc>
      </w:tr>
      <w:tr w:rsidR="000B6418" w:rsidRPr="000B6418" w14:paraId="7570D374" w14:textId="77777777" w:rsidTr="001A5C37">
        <w:trPr>
          <w:trHeight w:val="1500"/>
        </w:trPr>
        <w:tc>
          <w:tcPr>
            <w:tcW w:w="1993" w:type="dxa"/>
            <w:shd w:val="clear" w:color="auto" w:fill="auto"/>
            <w:hideMark/>
          </w:tcPr>
          <w:p w14:paraId="371D3B9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Matkailuun panostaminen</w:t>
            </w: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Geoparkin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hyödyntäminen ympärivuotisesti </w:t>
            </w: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reitistöjen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kunnossapito </w:t>
            </w: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huomioioden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1993" w:type="dxa"/>
            <w:shd w:val="clear" w:color="auto" w:fill="auto"/>
            <w:hideMark/>
          </w:tcPr>
          <w:p w14:paraId="7784960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47C79E3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65CD04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1B02E2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Selvitys </w:t>
            </w: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Geopark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Käskyvuori opasteiden hankinnasta valtateiden varsille</w:t>
            </w:r>
          </w:p>
        </w:tc>
        <w:tc>
          <w:tcPr>
            <w:tcW w:w="1994" w:type="dxa"/>
            <w:shd w:val="clear" w:color="auto" w:fill="auto"/>
            <w:hideMark/>
          </w:tcPr>
          <w:p w14:paraId="6EE87F7D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86FC403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2BF8C9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98267F6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Selvitystyön valmistuminen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Suunnitelman valmistuminen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Lupien hakeminen</w:t>
            </w:r>
          </w:p>
        </w:tc>
        <w:tc>
          <w:tcPr>
            <w:tcW w:w="1993" w:type="dxa"/>
            <w:shd w:val="clear" w:color="auto" w:fill="auto"/>
            <w:hideMark/>
          </w:tcPr>
          <w:p w14:paraId="0ADB04B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F4F8FE2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A4F909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969DEB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Selvitys valmistunut yhteistyössä 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Suunnitelmien valmistuminen</w:t>
            </w:r>
          </w:p>
          <w:p w14:paraId="4D9317B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F0252AD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Lupien hakeminen</w:t>
            </w:r>
          </w:p>
        </w:tc>
        <w:tc>
          <w:tcPr>
            <w:tcW w:w="1994" w:type="dxa"/>
            <w:shd w:val="clear" w:color="auto" w:fill="auto"/>
            <w:hideMark/>
          </w:tcPr>
          <w:p w14:paraId="5E09CC9B" w14:textId="77777777" w:rsid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 </w:t>
            </w:r>
          </w:p>
          <w:p w14:paraId="1A896FEA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2FF041B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76A8F12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Ei mahdollinen</w:t>
            </w:r>
          </w:p>
          <w:p w14:paraId="4FDA45FC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72A8659" w14:textId="6620E155" w:rsidR="002F7157" w:rsidRPr="000B6418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Käskyvuori opasteet asennettu 2790-tien varteen</w:t>
            </w:r>
          </w:p>
        </w:tc>
      </w:tr>
      <w:tr w:rsidR="000B6418" w:rsidRPr="000B6418" w14:paraId="1FC46F15" w14:textId="77777777" w:rsidTr="001A5C37">
        <w:trPr>
          <w:trHeight w:val="6600"/>
        </w:trPr>
        <w:tc>
          <w:tcPr>
            <w:tcW w:w="1993" w:type="dxa"/>
            <w:shd w:val="clear" w:color="auto" w:fill="auto"/>
            <w:hideMark/>
          </w:tcPr>
          <w:p w14:paraId="046D022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lastRenderedPageBreak/>
              <w:t>Kuntalaisten hyvinvoinnista huolehtiminen:</w:t>
            </w: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 xml:space="preserve">Huolehdimme viihtyisästä ja turvallisesta elinympäristöstä, jossa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 xml:space="preserve">kuntalaisilla on mahdollisuus harrastaa ja liikkua, osallistua tapahtumiin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sekä nauttia luonnosta, kulttuurista ja taiteesta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 xml:space="preserve">Edistämme yhteisöllisyyttä ja osallisuutta luomalla uusia matalan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 xml:space="preserve">kynnyksen tilaisuuksia, joissa vahvistetaan vuorovaikutusta kuntalaisten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kesken ja kannustetaan vaikuttamaan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 xml:space="preserve">Lisäämme yhteistyötä ja verkostoitumista järjestöjen ja yhdistysten kanssa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ja tiedotamme kunnan palveluista aktiivisesti ja monikanavaisesti</w:t>
            </w:r>
          </w:p>
        </w:tc>
        <w:tc>
          <w:tcPr>
            <w:tcW w:w="1993" w:type="dxa"/>
            <w:shd w:val="clear" w:color="auto" w:fill="auto"/>
            <w:hideMark/>
          </w:tcPr>
          <w:p w14:paraId="64F85321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59A0556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0CB80B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A16E452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B41FBD4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Leikki- ja liikuntapaikkojen ulkopuolisen suorittamat tarkastukset, inventoinnit ja kunnossapitosuunnitelmien laadinta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Kulttuurihistorian ja rakennusperinteen vaalimiseksi järjestettävä tapahtuma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Hankinnoissa selvitämme hankinnan tai sen osan toteuttamista talkoilla tai paikallisten yhdistysten toteuttamana</w:t>
            </w:r>
          </w:p>
        </w:tc>
        <w:tc>
          <w:tcPr>
            <w:tcW w:w="1994" w:type="dxa"/>
            <w:shd w:val="clear" w:color="auto" w:fill="auto"/>
            <w:hideMark/>
          </w:tcPr>
          <w:p w14:paraId="4D66A5E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5F8012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651651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BA05CC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21513D2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Tarkastettujen leikki- ja liikuntapaikkojen tarkastusten lukumäärä X kpl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4DA60F9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6B2004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5C29D5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61B90FD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A960716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Tapahtumienn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lukumäärä X kpl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489AB44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202E71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468AC14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E9E812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Hankintojen lukumäärä X kpl</w:t>
            </w:r>
          </w:p>
        </w:tc>
        <w:tc>
          <w:tcPr>
            <w:tcW w:w="1993" w:type="dxa"/>
            <w:shd w:val="clear" w:color="auto" w:fill="auto"/>
            <w:hideMark/>
          </w:tcPr>
          <w:p w14:paraId="51CDF283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4DD65BA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C947E1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7B70DC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499679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Kaikki leikkipuistot tarkastettu</w:t>
            </w:r>
          </w:p>
          <w:p w14:paraId="5C26BCFA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52CAF7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E54509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3A5251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18DF5C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E1B5D5D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AD992D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C1C0A2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Yksi tapahtuma/toimintavuosi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7ABF0955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DD5E96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268FBF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hankinta/toimintavuosi</w:t>
            </w:r>
          </w:p>
        </w:tc>
        <w:tc>
          <w:tcPr>
            <w:tcW w:w="1994" w:type="dxa"/>
            <w:shd w:val="clear" w:color="auto" w:fill="auto"/>
            <w:hideMark/>
          </w:tcPr>
          <w:p w14:paraId="1706F01A" w14:textId="77777777" w:rsid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 </w:t>
            </w:r>
          </w:p>
          <w:p w14:paraId="2BA6092F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1810CE6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BDC7247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1DCDF05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Kaikki leikkipuistot tarkastettu</w:t>
            </w:r>
          </w:p>
          <w:p w14:paraId="0981E5BC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4B21C01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079AB3E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2D6DD5F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8794CB6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66F6F66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58B5C5C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864DCB9" w14:textId="6EDABAF8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0 kpl</w:t>
            </w:r>
          </w:p>
          <w:p w14:paraId="2D15E53E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7215E10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CD13550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F8E2AEC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48BD86B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9CF6341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3C68D95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52C145E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Järjestetty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Elyn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tukema jättipalsamin kitkentähanke Arboretumilla (3 talkoopäivää)</w:t>
            </w:r>
          </w:p>
          <w:p w14:paraId="267F88FE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43ABB30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2B69339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F8428E8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5F4DB3C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78B9149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E4BEDE3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0985A13" w14:textId="441F6731" w:rsidR="0032523F" w:rsidRPr="000B6418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</w:tr>
      <w:tr w:rsidR="000B6418" w:rsidRPr="000B6418" w14:paraId="69B49FF2" w14:textId="77777777" w:rsidTr="001A5C37">
        <w:trPr>
          <w:trHeight w:val="2775"/>
        </w:trPr>
        <w:tc>
          <w:tcPr>
            <w:tcW w:w="1993" w:type="dxa"/>
            <w:shd w:val="clear" w:color="auto" w:fill="auto"/>
            <w:hideMark/>
          </w:tcPr>
          <w:p w14:paraId="4DE64CE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Monipaikkaisuuden edistäminen</w:t>
            </w:r>
          </w:p>
          <w:p w14:paraId="1721E0D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 xml:space="preserve">Kihniössä on paljon kausiasukkaita ja monipaikkaisuus on mahdollisuus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Kihniölle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 xml:space="preserve">Kunta tekee aktiivista yhteistyötä nykyisten ja mahdollisten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 xml:space="preserve">kausiasukkaiden kanssa, jotta yhä useampi viipyisi pidempään Kihniössä tai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muuttaisi vakituisesti kuntaan</w:t>
            </w:r>
          </w:p>
        </w:tc>
        <w:tc>
          <w:tcPr>
            <w:tcW w:w="1993" w:type="dxa"/>
            <w:shd w:val="clear" w:color="auto" w:fill="auto"/>
            <w:hideMark/>
          </w:tcPr>
          <w:p w14:paraId="09BB493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0F368F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50DA95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827171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EADEA6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Edistetään toimenpiteitä vakituisten asukkaiden saamiseksi kuntaan: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Kootaan infopaketti vapaa-ajan kiinteistön muuttamisesta vakituiseksi asunnoksi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Järjestetään info asiasta laajemman yleisötilaisuuden yhteydessä</w:t>
            </w:r>
          </w:p>
        </w:tc>
        <w:tc>
          <w:tcPr>
            <w:tcW w:w="1994" w:type="dxa"/>
            <w:shd w:val="clear" w:color="auto" w:fill="auto"/>
            <w:hideMark/>
          </w:tcPr>
          <w:p w14:paraId="010666D6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DA3C50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ECB9576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3319A2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0F27153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Esite (printti ja verkkojulkaisu) valmistuminen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2FF263B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0E8C9F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D98B1B6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5E6A10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BBC9655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CE02054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D45347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2FAC67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99CD292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Infotilaisuuden 1 kpl toteutuminen</w:t>
            </w:r>
          </w:p>
        </w:tc>
        <w:tc>
          <w:tcPr>
            <w:tcW w:w="1993" w:type="dxa"/>
            <w:shd w:val="clear" w:color="auto" w:fill="auto"/>
            <w:hideMark/>
          </w:tcPr>
          <w:p w14:paraId="5046F0D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C937FF1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1A00DBA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43B75D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82531DD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Esite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45F6ED4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CF9E90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A6E8845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D6E6BC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02A5BC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410E0D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68EDE1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1EA07F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A408E1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99899EA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E55ACBA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7D04C2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Infotilaisuus</w:t>
            </w:r>
          </w:p>
        </w:tc>
        <w:tc>
          <w:tcPr>
            <w:tcW w:w="1994" w:type="dxa"/>
            <w:shd w:val="clear" w:color="auto" w:fill="auto"/>
            <w:hideMark/>
          </w:tcPr>
          <w:p w14:paraId="5EFECB16" w14:textId="77777777" w:rsid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 </w:t>
            </w:r>
          </w:p>
          <w:p w14:paraId="7F76EE63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B35D1EC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59C4F6C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459B50D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Aiemmin laadittu esite jaossa kunnassa ja messuilla. Päivitys tehdään alueidenkäyttö- ja rakentamislain muutoksen jälkeen.</w:t>
            </w:r>
          </w:p>
          <w:p w14:paraId="10C0EBA9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D07A794" w14:textId="404D46EE" w:rsidR="0032523F" w:rsidRPr="000B6418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Asiaa edistetty antamalla haastattelu paikallislehden toimitukselle.</w:t>
            </w:r>
          </w:p>
        </w:tc>
      </w:tr>
      <w:tr w:rsidR="000B6418" w:rsidRPr="000B6418" w14:paraId="6E9969C5" w14:textId="77777777" w:rsidTr="001A5C37">
        <w:trPr>
          <w:trHeight w:val="900"/>
        </w:trPr>
        <w:tc>
          <w:tcPr>
            <w:tcW w:w="1993" w:type="dxa"/>
            <w:shd w:val="clear" w:color="auto" w:fill="auto"/>
            <w:hideMark/>
          </w:tcPr>
          <w:p w14:paraId="5168F62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Monipaikkaisuuden edistäminen</w:t>
            </w:r>
          </w:p>
          <w:p w14:paraId="42B938C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Vapaa-ajan tonttien kartoittaminen ja markkinointi</w:t>
            </w:r>
          </w:p>
        </w:tc>
        <w:tc>
          <w:tcPr>
            <w:tcW w:w="1993" w:type="dxa"/>
            <w:shd w:val="clear" w:color="auto" w:fill="auto"/>
            <w:hideMark/>
          </w:tcPr>
          <w:p w14:paraId="56C4CE23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725015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1B20EC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6EE82E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7217744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Rantaosayleiskaavojen laadinta kunnan rantaan rajoittuvilla rantakiinteistöillä (mm. </w:t>
            </w: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Sulkuejärvi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ja </w:t>
            </w: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Kankarinjärvi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)</w:t>
            </w:r>
          </w:p>
        </w:tc>
        <w:tc>
          <w:tcPr>
            <w:tcW w:w="1994" w:type="dxa"/>
            <w:shd w:val="clear" w:color="auto" w:fill="auto"/>
            <w:hideMark/>
          </w:tcPr>
          <w:p w14:paraId="09E95C4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884AFF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5601AE1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2F41CC2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9FFEB0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Kaavahankkeiden lukumäärä X kpl</w:t>
            </w:r>
          </w:p>
        </w:tc>
        <w:tc>
          <w:tcPr>
            <w:tcW w:w="1993" w:type="dxa"/>
            <w:shd w:val="clear" w:color="auto" w:fill="auto"/>
            <w:hideMark/>
          </w:tcPr>
          <w:p w14:paraId="19E97B3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D28B284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D553B03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9C59964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C9A46C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kpl käynnissä olevia kaavahankkeita</w:t>
            </w:r>
          </w:p>
        </w:tc>
        <w:tc>
          <w:tcPr>
            <w:tcW w:w="1994" w:type="dxa"/>
            <w:shd w:val="clear" w:color="auto" w:fill="auto"/>
            <w:hideMark/>
          </w:tcPr>
          <w:p w14:paraId="72B5C520" w14:textId="77777777" w:rsid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 </w:t>
            </w:r>
          </w:p>
          <w:p w14:paraId="506A1FBB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8A8E837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693E199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5992125" w14:textId="298869EC" w:rsidR="0032523F" w:rsidRPr="000B6418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kpl kaavahankkeita alustavassa valmistelussa (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Sulkuejärvi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)</w:t>
            </w:r>
          </w:p>
        </w:tc>
      </w:tr>
    </w:tbl>
    <w:p w14:paraId="35004FFC" w14:textId="77777777" w:rsidR="0033291A" w:rsidRPr="0033291A" w:rsidRDefault="0033291A">
      <w:pPr>
        <w:rPr>
          <w:rFonts w:ascii="Arial" w:hAnsi="Arial" w:cs="Arial"/>
          <w:b/>
          <w:sz w:val="24"/>
          <w:szCs w:val="24"/>
        </w:rPr>
      </w:pPr>
    </w:p>
    <w:sectPr w:rsidR="0033291A" w:rsidRPr="0033291A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A45E7" w14:textId="77777777" w:rsidR="00A807C5" w:rsidRDefault="00A807C5" w:rsidP="00A807C5">
      <w:pPr>
        <w:spacing w:after="0" w:line="240" w:lineRule="auto"/>
      </w:pPr>
      <w:r>
        <w:separator/>
      </w:r>
    </w:p>
  </w:endnote>
  <w:endnote w:type="continuationSeparator" w:id="0">
    <w:p w14:paraId="42F1F81F" w14:textId="77777777" w:rsidR="00A807C5" w:rsidRDefault="00A807C5" w:rsidP="00A8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943DF" w14:textId="77777777" w:rsidR="00A807C5" w:rsidRDefault="00A807C5" w:rsidP="00A807C5">
      <w:pPr>
        <w:spacing w:after="0" w:line="240" w:lineRule="auto"/>
      </w:pPr>
      <w:r>
        <w:separator/>
      </w:r>
    </w:p>
  </w:footnote>
  <w:footnote w:type="continuationSeparator" w:id="0">
    <w:p w14:paraId="5E6BADDD" w14:textId="77777777" w:rsidR="00A807C5" w:rsidRDefault="00A807C5" w:rsidP="00A8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6ABF" w14:textId="77777777" w:rsidR="00A807C5" w:rsidRDefault="00A807C5">
    <w:pPr>
      <w:pStyle w:val="Yltunniste"/>
    </w:pPr>
    <w:r>
      <w:t>KIHNIÖN KUNTA</w:t>
    </w:r>
    <w:r>
      <w:br/>
      <w:t>Tekninen johtaja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79D"/>
    <w:multiLevelType w:val="hybridMultilevel"/>
    <w:tmpl w:val="5BA08F46"/>
    <w:lvl w:ilvl="0" w:tplc="8C2028B6">
      <w:start w:val="88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17"/>
    <w:rsid w:val="00032658"/>
    <w:rsid w:val="00034251"/>
    <w:rsid w:val="00040797"/>
    <w:rsid w:val="000B6418"/>
    <w:rsid w:val="000F400E"/>
    <w:rsid w:val="001858F8"/>
    <w:rsid w:val="001A1328"/>
    <w:rsid w:val="001E2F1C"/>
    <w:rsid w:val="002A1912"/>
    <w:rsid w:val="002A74ED"/>
    <w:rsid w:val="002F4F40"/>
    <w:rsid w:val="002F7157"/>
    <w:rsid w:val="0032523F"/>
    <w:rsid w:val="00325E83"/>
    <w:rsid w:val="0033291A"/>
    <w:rsid w:val="00374261"/>
    <w:rsid w:val="003831A2"/>
    <w:rsid w:val="00387C72"/>
    <w:rsid w:val="003E443C"/>
    <w:rsid w:val="00413981"/>
    <w:rsid w:val="004162B8"/>
    <w:rsid w:val="004162D8"/>
    <w:rsid w:val="0046381B"/>
    <w:rsid w:val="0048268D"/>
    <w:rsid w:val="00482EC8"/>
    <w:rsid w:val="004D41AA"/>
    <w:rsid w:val="00514A9A"/>
    <w:rsid w:val="005645B5"/>
    <w:rsid w:val="005D7A1E"/>
    <w:rsid w:val="005E366B"/>
    <w:rsid w:val="006330C0"/>
    <w:rsid w:val="006425E9"/>
    <w:rsid w:val="006A03E5"/>
    <w:rsid w:val="006B0477"/>
    <w:rsid w:val="006C2A79"/>
    <w:rsid w:val="00704506"/>
    <w:rsid w:val="00717C20"/>
    <w:rsid w:val="00742213"/>
    <w:rsid w:val="007512AF"/>
    <w:rsid w:val="00753F5A"/>
    <w:rsid w:val="0075433A"/>
    <w:rsid w:val="0078741E"/>
    <w:rsid w:val="00796084"/>
    <w:rsid w:val="007D5517"/>
    <w:rsid w:val="007D5F6E"/>
    <w:rsid w:val="0081039D"/>
    <w:rsid w:val="0082126E"/>
    <w:rsid w:val="00833B1A"/>
    <w:rsid w:val="00851DE6"/>
    <w:rsid w:val="00857BB8"/>
    <w:rsid w:val="008716FC"/>
    <w:rsid w:val="00877AAB"/>
    <w:rsid w:val="008E3EE5"/>
    <w:rsid w:val="00901936"/>
    <w:rsid w:val="009165EF"/>
    <w:rsid w:val="00921EB4"/>
    <w:rsid w:val="00981149"/>
    <w:rsid w:val="009826EC"/>
    <w:rsid w:val="00A2356A"/>
    <w:rsid w:val="00A76C90"/>
    <w:rsid w:val="00A807C5"/>
    <w:rsid w:val="00AB0A63"/>
    <w:rsid w:val="00AC03E9"/>
    <w:rsid w:val="00B00DD2"/>
    <w:rsid w:val="00B13B63"/>
    <w:rsid w:val="00B51989"/>
    <w:rsid w:val="00B6688C"/>
    <w:rsid w:val="00BA21FD"/>
    <w:rsid w:val="00BD57B4"/>
    <w:rsid w:val="00BF7F2E"/>
    <w:rsid w:val="00C057D4"/>
    <w:rsid w:val="00C16EB2"/>
    <w:rsid w:val="00C66403"/>
    <w:rsid w:val="00C93778"/>
    <w:rsid w:val="00CB59B1"/>
    <w:rsid w:val="00CC4D5E"/>
    <w:rsid w:val="00D35306"/>
    <w:rsid w:val="00D930E2"/>
    <w:rsid w:val="00DB091E"/>
    <w:rsid w:val="00DC1008"/>
    <w:rsid w:val="00DE7A68"/>
    <w:rsid w:val="00E01CA2"/>
    <w:rsid w:val="00E44814"/>
    <w:rsid w:val="00E5669B"/>
    <w:rsid w:val="00E64F8A"/>
    <w:rsid w:val="00E6707B"/>
    <w:rsid w:val="00E822F8"/>
    <w:rsid w:val="00EB0D87"/>
    <w:rsid w:val="00EC35C3"/>
    <w:rsid w:val="00EF6D88"/>
    <w:rsid w:val="00F261AE"/>
    <w:rsid w:val="00F60ADF"/>
    <w:rsid w:val="00FA357D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D5BE"/>
  <w15:chartTrackingRefBased/>
  <w15:docId w15:val="{DADCD58D-1639-4BB5-984E-3616865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6688C"/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64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80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07C5"/>
  </w:style>
  <w:style w:type="paragraph" w:styleId="Alatunniste">
    <w:name w:val="footer"/>
    <w:basedOn w:val="Normaali"/>
    <w:link w:val="AlatunnisteChar"/>
    <w:uiPriority w:val="99"/>
    <w:unhideWhenUsed/>
    <w:rsid w:val="00A80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807C5"/>
  </w:style>
  <w:style w:type="paragraph" w:styleId="Seliteteksti">
    <w:name w:val="Balloon Text"/>
    <w:basedOn w:val="Normaali"/>
    <w:link w:val="SelitetekstiChar"/>
    <w:uiPriority w:val="99"/>
    <w:semiHidden/>
    <w:unhideWhenUsed/>
    <w:rsid w:val="00C6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6403"/>
    <w:rPr>
      <w:rFonts w:ascii="Segoe UI" w:hAnsi="Segoe UI" w:cs="Segoe UI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64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0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536E4-6359-473A-A830-69624BEB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1179</Words>
  <Characters>9552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Kujansuu Johanna</dc:creator>
  <cp:keywords/>
  <dc:description/>
  <cp:lastModifiedBy>Kujansuu Johanna</cp:lastModifiedBy>
  <cp:revision>2</cp:revision>
  <cp:lastPrinted>2023-09-01T09:13:00Z</cp:lastPrinted>
  <dcterms:created xsi:type="dcterms:W3CDTF">2024-09-19T12:51:00Z</dcterms:created>
  <dcterms:modified xsi:type="dcterms:W3CDTF">2024-09-19T12:51:00Z</dcterms:modified>
</cp:coreProperties>
</file>